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临西县医疗保障局2020年度随机抽查工作计划</w:t>
      </w:r>
    </w:p>
    <w:p>
      <w:pPr>
        <w:jc w:val="center"/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单位（盖章）：临西县医疗保障局                                            制表时间：2020年1月7日</w:t>
      </w:r>
    </w:p>
    <w:tbl>
      <w:tblPr>
        <w:tblStyle w:val="6"/>
        <w:tblW w:w="15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26"/>
        <w:gridCol w:w="914"/>
        <w:gridCol w:w="2235"/>
        <w:gridCol w:w="765"/>
        <w:gridCol w:w="780"/>
        <w:gridCol w:w="1995"/>
        <w:gridCol w:w="1710"/>
        <w:gridCol w:w="1260"/>
        <w:gridCol w:w="118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抽查计划编号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抽查计划名称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抽查任务编号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抽查任务名称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抽查类型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抽查比例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抽查事项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抽查对象范围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发起科（股）室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联合科（股）室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2020001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2020年对用人单位和个人遵守社会保险法律的监督检查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001号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2020年对社会保险待遇领取情况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和协议医药机构基本医疗保险服务活动</w:t>
            </w:r>
            <w:r>
              <w:rPr>
                <w:rFonts w:hint="eastAsia" w:ascii="仿宋" w:hAnsi="仿宋" w:eastAsia="仿宋" w:cs="仿宋"/>
                <w:sz w:val="24"/>
              </w:rPr>
              <w:t>的监督检查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50%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社会保险待遇领取情况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和协议医药机构基本医疗保险服务活动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纳入协议管理的定点医疗机构和零售药店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基金监管科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必要时联合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2020年对用人单位和个人遵守社会保险法律的监督检查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2020年对单位和个人骗取医疗保险待遇和医疗保险基金支出的监督检查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5%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单位和个人骗取医疗保险待遇和医疗保险基金支出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各参保单位和享受待遇的参保居民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基金监管科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必要时联合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2020年对医疗机构药品集中采购相关规定的督导检查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2020年对公立医疗机构高值医用耗材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</w:rPr>
              <w:t>药品集中采购行为合规性的督导检查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30%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公立医疗机构高值医用耗材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</w:rPr>
              <w:t>药品集中采购采购行为合规性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县内各公立医疗机构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基金监管科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必要时联合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2020年对医疗机构药品集中采购相关规定的督导检查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2020年对药品配送企业集中采购配送情况的督导检查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定向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30%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药品配送企业集中采购配送情况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药品配送企业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基金监管科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必要时联合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每年</w:t>
            </w: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pgSz w:w="16783" w:h="11850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9EB"/>
    <w:rsid w:val="000226B3"/>
    <w:rsid w:val="00110E6E"/>
    <w:rsid w:val="00114A1D"/>
    <w:rsid w:val="001A3476"/>
    <w:rsid w:val="0022456A"/>
    <w:rsid w:val="002B210B"/>
    <w:rsid w:val="002C4EC3"/>
    <w:rsid w:val="00452D06"/>
    <w:rsid w:val="004F22FA"/>
    <w:rsid w:val="005D5DD7"/>
    <w:rsid w:val="0089449C"/>
    <w:rsid w:val="008B6F75"/>
    <w:rsid w:val="00BA38A7"/>
    <w:rsid w:val="00CD3371"/>
    <w:rsid w:val="00ED19EB"/>
    <w:rsid w:val="00F04E5C"/>
    <w:rsid w:val="01BB7296"/>
    <w:rsid w:val="02762A60"/>
    <w:rsid w:val="065003AA"/>
    <w:rsid w:val="0673455B"/>
    <w:rsid w:val="0BE212EE"/>
    <w:rsid w:val="0C290C7C"/>
    <w:rsid w:val="1DA37351"/>
    <w:rsid w:val="1F791AC5"/>
    <w:rsid w:val="22F346CA"/>
    <w:rsid w:val="256B4E57"/>
    <w:rsid w:val="27822B34"/>
    <w:rsid w:val="28B73DCA"/>
    <w:rsid w:val="309C6D77"/>
    <w:rsid w:val="394B097D"/>
    <w:rsid w:val="395E79D1"/>
    <w:rsid w:val="3BA329ED"/>
    <w:rsid w:val="42BB235A"/>
    <w:rsid w:val="48FA341C"/>
    <w:rsid w:val="5A00495F"/>
    <w:rsid w:val="5A724C8D"/>
    <w:rsid w:val="618C724D"/>
    <w:rsid w:val="6A94362E"/>
    <w:rsid w:val="78DF4BAA"/>
    <w:rsid w:val="7C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672</Words>
  <Characters>233</Characters>
  <Lines>1</Lines>
  <Paragraphs>1</Paragraphs>
  <TotalTime>2</TotalTime>
  <ScaleCrop>false</ScaleCrop>
  <LinksUpToDate>false</LinksUpToDate>
  <CharactersWithSpaces>904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2020-01-08T07:55:00Z</cp:lastPrinted>
  <dcterms:modified xsi:type="dcterms:W3CDTF">2020-01-09T09:14:06Z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