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val="0"/>
        <w:autoSpaceDN w:val="0"/>
        <w:bidi w:val="0"/>
        <w:adjustRightInd/>
        <w:snapToGrid/>
        <w:spacing w:line="680" w:lineRule="exact"/>
        <w:jc w:val="center"/>
        <w:textAlignment w:val="auto"/>
        <w:rPr>
          <w:rFonts w:ascii="宋体"/>
          <w:b/>
          <w:color w:val="000000"/>
          <w:sz w:val="32"/>
          <w:szCs w:val="32"/>
        </w:rPr>
      </w:pPr>
      <w:r>
        <w:rPr>
          <w:rFonts w:hint="eastAsia" w:ascii="方正小标宋简体" w:hAnsi="方正小标宋简体" w:eastAsia="方正小标宋简体" w:cs="方正小标宋简体"/>
          <w:b w:val="0"/>
          <w:bCs/>
          <w:color w:val="000000"/>
          <w:sz w:val="44"/>
          <w:szCs w:val="44"/>
          <w:lang w:eastAsia="zh-CN"/>
        </w:rPr>
        <w:t>中国共产党临西县委员会</w:t>
      </w:r>
      <w:r>
        <w:rPr>
          <w:rFonts w:hint="eastAsia" w:ascii="方正小标宋简体" w:hAnsi="方正小标宋简体" w:eastAsia="方正小标宋简体" w:cs="方正小标宋简体"/>
          <w:b w:val="0"/>
          <w:bCs/>
          <w:color w:val="000000"/>
          <w:sz w:val="44"/>
          <w:szCs w:val="44"/>
        </w:rPr>
        <w:t>宣传部201</w:t>
      </w:r>
      <w:r>
        <w:rPr>
          <w:rFonts w:hint="eastAsia" w:ascii="方正小标宋简体" w:hAnsi="方正小标宋简体" w:eastAsia="方正小标宋简体" w:cs="方正小标宋简体"/>
          <w:b w:val="0"/>
          <w:bCs/>
          <w:color w:val="000000"/>
          <w:sz w:val="44"/>
          <w:szCs w:val="44"/>
          <w:lang w:val="en-US" w:eastAsia="zh-CN"/>
        </w:rPr>
        <w:t>9</w:t>
      </w:r>
      <w:r>
        <w:rPr>
          <w:rFonts w:hint="eastAsia" w:ascii="方正小标宋简体" w:hAnsi="方正小标宋简体" w:eastAsia="方正小标宋简体" w:cs="方正小标宋简体"/>
          <w:b w:val="0"/>
          <w:bCs/>
          <w:color w:val="000000"/>
          <w:sz w:val="44"/>
          <w:szCs w:val="44"/>
        </w:rPr>
        <w:t>年部门预算公开信息</w:t>
      </w:r>
      <w:r>
        <w:rPr>
          <w:rFonts w:hint="eastAsia" w:ascii="方正小标宋简体" w:hAnsi="方正小标宋简体" w:eastAsia="方正小标宋简体" w:cs="方正小标宋简体"/>
          <w:b w:val="0"/>
          <w:bCs/>
          <w:color w:val="000000"/>
          <w:sz w:val="44"/>
          <w:szCs w:val="44"/>
          <w:lang w:eastAsia="zh-CN"/>
        </w:rPr>
        <w:t>情况说明</w:t>
      </w:r>
      <w:r>
        <w:rPr>
          <w:rFonts w:hint="eastAsia" w:ascii="宋体" w:hAnsi="宋体"/>
          <w:b/>
          <w:color w:val="000000"/>
          <w:sz w:val="32"/>
          <w:szCs w:val="32"/>
        </w:rPr>
        <w:t xml:space="preserve">  </w:t>
      </w:r>
    </w:p>
    <w:p>
      <w:pPr>
        <w:autoSpaceDE w:val="0"/>
        <w:autoSpaceDN w:val="0"/>
        <w:ind w:firstLine="640" w:firstLineChars="200"/>
        <w:rPr>
          <w:rFonts w:ascii="黑体" w:hAnsi="黑体" w:eastAsia="黑体"/>
          <w:bCs/>
          <w:color w:val="000000"/>
          <w:sz w:val="32"/>
          <w:szCs w:val="32"/>
        </w:rPr>
      </w:pPr>
      <w:r>
        <w:rPr>
          <w:rFonts w:hint="eastAsia" w:ascii="仿宋_GB2312" w:hAnsi="仿宋_GB2312" w:eastAsia="仿宋_GB2312"/>
          <w:color w:val="000000"/>
          <w:sz w:val="32"/>
          <w:szCs w:val="32"/>
        </w:rPr>
        <w:t>按照《预算法》、《地方预决算公开操作规程》和《河北省省级预算公开办法》规定，现将中共临西县委宣传部</w:t>
      </w:r>
      <w:r>
        <w:rPr>
          <w:rFonts w:ascii="仿宋_GB2312" w:hAnsi="仿宋_GB2312" w:eastAsia="仿宋_GB2312"/>
          <w:color w:val="000000"/>
          <w:sz w:val="32"/>
          <w:szCs w:val="32"/>
        </w:rPr>
        <w:t>20</w:t>
      </w:r>
      <w:r>
        <w:rPr>
          <w:rFonts w:hint="eastAsia" w:ascii="仿宋_GB2312" w:hAnsi="仿宋_GB2312" w:eastAsia="仿宋_GB2312"/>
          <w:color w:val="000000"/>
          <w:sz w:val="32"/>
          <w:szCs w:val="32"/>
          <w:lang w:val="en-US" w:eastAsia="zh-CN"/>
        </w:rPr>
        <w:t>19</w:t>
      </w:r>
      <w:r>
        <w:rPr>
          <w:rFonts w:hint="eastAsia" w:ascii="仿宋_GB2312" w:hAnsi="仿宋_GB2312" w:eastAsia="仿宋_GB2312"/>
          <w:color w:val="000000"/>
          <w:sz w:val="32"/>
          <w:szCs w:val="32"/>
        </w:rPr>
        <w:t>年部门预算公开如下：</w:t>
      </w:r>
    </w:p>
    <w:p>
      <w:pPr>
        <w:numPr>
          <w:ilvl w:val="0"/>
          <w:numId w:val="1"/>
        </w:numPr>
        <w:ind w:firstLine="640"/>
        <w:jc w:val="left"/>
        <w:rPr>
          <w:rFonts w:ascii="黑体" w:hAnsi="黑体" w:eastAsia="黑体"/>
          <w:bCs/>
          <w:color w:val="000000"/>
          <w:sz w:val="32"/>
          <w:szCs w:val="32"/>
        </w:rPr>
      </w:pPr>
      <w:r>
        <w:rPr>
          <w:rFonts w:hint="eastAsia" w:ascii="黑体" w:hAnsi="黑体" w:eastAsia="黑体"/>
          <w:bCs/>
          <w:color w:val="000000"/>
          <w:sz w:val="32"/>
          <w:szCs w:val="32"/>
        </w:rPr>
        <w:t>部门职责及机构设置情况</w:t>
      </w:r>
    </w:p>
    <w:p>
      <w:pPr>
        <w:autoSpaceDE w:val="0"/>
        <w:autoSpaceDN w:val="0"/>
        <w:adjustRightInd w:val="0"/>
        <w:spacing w:line="540" w:lineRule="exact"/>
        <w:ind w:firstLine="643" w:firstLineChars="200"/>
        <w:jc w:val="left"/>
        <w:rPr>
          <w:rFonts w:ascii="仿宋" w:hAnsi="仿宋" w:eastAsia="仿宋" w:cs="仿宋"/>
          <w:sz w:val="32"/>
          <w:szCs w:val="32"/>
        </w:rPr>
      </w:pPr>
      <w:r>
        <w:rPr>
          <w:rFonts w:hint="eastAsia" w:ascii="仿宋_GB2312" w:hAnsi="仿宋_GB2312" w:eastAsia="仿宋_GB2312"/>
          <w:b/>
          <w:bCs/>
          <w:color w:val="000000"/>
          <w:sz w:val="32"/>
          <w:szCs w:val="32"/>
        </w:rPr>
        <w:t>部门职责</w:t>
      </w:r>
      <w:r>
        <w:rPr>
          <w:rFonts w:hint="eastAsia" w:ascii="仿宋_GB2312" w:hAnsi="仿宋_GB2312" w:eastAsia="仿宋_GB2312"/>
          <w:color w:val="000000"/>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负责</w:t>
      </w:r>
      <w:r>
        <w:rPr>
          <w:rFonts w:hint="eastAsia" w:ascii="仿宋_GB2312" w:eastAsia="仿宋_GB2312"/>
          <w:sz w:val="32"/>
          <w:szCs w:val="32"/>
        </w:rPr>
        <w:t>围绕县委、县政府的中心工作，把握正确舆论导向，及时、准确地报道县内重大事件和各行各业取得的成绩。对失实新闻和非正面宣传报道制定补救措施，做好新闻误差引发的群众来信来访工作。</w:t>
      </w:r>
    </w:p>
    <w:p>
      <w:pPr>
        <w:ind w:firstLine="640" w:firstLineChars="200"/>
        <w:rPr>
          <w:rFonts w:ascii="仿宋_GB2312" w:eastAsia="仿宋_GB2312"/>
          <w:sz w:val="32"/>
          <w:szCs w:val="32"/>
        </w:rPr>
      </w:pPr>
      <w:r>
        <w:rPr>
          <w:rFonts w:hint="eastAsia" w:ascii="仿宋_GB2312" w:eastAsia="仿宋_GB2312"/>
          <w:sz w:val="32"/>
          <w:szCs w:val="32"/>
        </w:rPr>
        <w:t>（二）负责拟定全县理论学习培训计划，做好全县党员、干部、职工、群众的理论学习和宣传教育工作。制定深化文化体制改革、发展文化产业的规划、政策和措施。积极开展文化交流与合作工作，参与文化产业项目的申报、论证和推介。</w:t>
      </w:r>
    </w:p>
    <w:p>
      <w:pPr>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负责</w:t>
      </w:r>
      <w:r>
        <w:rPr>
          <w:rFonts w:hint="eastAsia" w:ascii="仿宋_GB2312" w:eastAsia="仿宋_GB2312"/>
          <w:sz w:val="32"/>
          <w:szCs w:val="32"/>
        </w:rPr>
        <w:t xml:space="preserve">围绕县委、县政府各个时期的中心工作，研究制定全年工作计划并组织实施，做好县政府及有关部门的新闻发布工作。负责提出涉及全县社会与经济发展的重大问题、重大涉外活动、重大节庆活动及突发性事件的对外宣传意见，审查对外宣传的重要稿件，协调全县各涉外部门及新闻、文化、广电、科技等单位的对外宣传工作。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负责</w:t>
      </w:r>
      <w:r>
        <w:rPr>
          <w:rFonts w:hint="eastAsia" w:ascii="仿宋_GB2312" w:eastAsia="仿宋_GB2312"/>
          <w:sz w:val="32"/>
          <w:szCs w:val="32"/>
        </w:rPr>
        <w:t>拟定全县精神文明建设年度计划，并对本年度的各项创建活动作出统筹安排。扎实开展公民道德建设宣传活动，抓好各类庆祝活动，丰富人民群众的精神文化生活。建立精神文明创建活动联系制度，加强对乡镇精神文明创建活动的指导，抓好对乡镇及村精神文明创建工作的业务培训。</w:t>
      </w:r>
    </w:p>
    <w:p>
      <w:pPr>
        <w:ind w:firstLine="640" w:firstLineChars="200"/>
        <w:rPr>
          <w:rFonts w:hint="eastAsia" w:ascii="仿宋_GB2312" w:eastAsia="仿宋_GB2312"/>
          <w:sz w:val="32"/>
          <w:szCs w:val="32"/>
        </w:rPr>
      </w:pPr>
      <w:r>
        <w:rPr>
          <w:rFonts w:hint="eastAsia" w:ascii="仿宋_GB2312" w:eastAsia="仿宋_GB2312"/>
          <w:sz w:val="32"/>
          <w:szCs w:val="32"/>
        </w:rPr>
        <w:t>（五）</w:t>
      </w:r>
      <w:r>
        <w:rPr>
          <w:rFonts w:hint="eastAsia" w:ascii="仿宋_GB2312" w:eastAsia="仿宋_GB2312"/>
          <w:sz w:val="32"/>
          <w:szCs w:val="32"/>
          <w:lang w:eastAsia="zh-CN"/>
        </w:rPr>
        <w:t>负责</w:t>
      </w:r>
      <w:r>
        <w:rPr>
          <w:rFonts w:hint="eastAsia" w:ascii="仿宋_GB2312" w:eastAsia="仿宋_GB2312"/>
          <w:sz w:val="32"/>
          <w:szCs w:val="32"/>
        </w:rPr>
        <w:t>做好文联对各团体协会、会员的联络、协调及服务工作，适时组织开展文艺创作、理论研究、学术交流、人才培训、书刊出版、文艺评奖和权益保护等活动，加强文艺创作，多出好品，出好精品。发现和培养艺术人才，不断扩大工作者队伍并团结文艺工作者，加强联络交往，积极开展文艺交流活动。</w:t>
      </w:r>
    </w:p>
    <w:p>
      <w:pPr>
        <w:ind w:firstLine="560"/>
        <w:rPr>
          <w:rFonts w:hint="eastAsia" w:ascii="仿宋" w:hAnsi="仿宋" w:eastAsia="仿宋" w:cs="仿宋"/>
          <w:sz w:val="32"/>
          <w:szCs w:val="32"/>
          <w:lang w:eastAsia="zh-CN"/>
        </w:rPr>
      </w:pPr>
      <w:r>
        <w:rPr>
          <w:rFonts w:hint="eastAsia" w:ascii="仿宋" w:hAnsi="仿宋" w:eastAsia="仿宋" w:cs="仿宋"/>
          <w:sz w:val="32"/>
          <w:szCs w:val="32"/>
        </w:rPr>
        <w:t>（六）</w:t>
      </w:r>
      <w:r>
        <w:rPr>
          <w:rFonts w:hint="eastAsia" w:ascii="仿宋" w:hAnsi="仿宋" w:eastAsia="仿宋" w:cs="仿宋"/>
          <w:sz w:val="32"/>
          <w:szCs w:val="32"/>
          <w:lang w:eastAsia="zh-CN"/>
        </w:rPr>
        <w:t>负责全县网络安全和引导工作。</w:t>
      </w:r>
    </w:p>
    <w:p>
      <w:pPr>
        <w:ind w:firstLine="560"/>
        <w:rPr>
          <w:rFonts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完成上级有关部门交办的其他事项</w:t>
      </w:r>
    </w:p>
    <w:p>
      <w:pPr>
        <w:tabs>
          <w:tab w:val="left" w:pos="1395"/>
        </w:tabs>
        <w:spacing w:line="540" w:lineRule="exact"/>
        <w:ind w:firstLine="643" w:firstLineChars="200"/>
        <w:rPr>
          <w:rFonts w:ascii="仿宋_GB2312" w:hAnsi="仿宋_GB2312" w:eastAsia="仿宋_GB2312" w:cs="黑体"/>
          <w:b/>
          <w:kern w:val="0"/>
          <w:sz w:val="32"/>
          <w:szCs w:val="32"/>
        </w:rPr>
      </w:pPr>
      <w:r>
        <w:rPr>
          <w:rFonts w:hint="eastAsia" w:ascii="仿宋_GB2312" w:hAnsi="仿宋_GB2312" w:eastAsia="仿宋_GB2312" w:cs="黑体"/>
          <w:b/>
          <w:kern w:val="0"/>
          <w:sz w:val="32"/>
          <w:szCs w:val="32"/>
        </w:rPr>
        <w:t>机构设置</w:t>
      </w:r>
    </w:p>
    <w:p>
      <w:pPr>
        <w:ind w:firstLine="560"/>
        <w:rPr>
          <w:rFonts w:hint="eastAsia" w:ascii="仿宋" w:hAnsi="仿宋" w:eastAsia="仿宋" w:cs="仿宋"/>
          <w:sz w:val="32"/>
          <w:szCs w:val="32"/>
        </w:rPr>
      </w:pPr>
      <w:r>
        <w:rPr>
          <w:rFonts w:hint="eastAsia" w:ascii="仿宋" w:hAnsi="仿宋" w:eastAsia="仿宋" w:cs="仿宋"/>
          <w:sz w:val="32"/>
          <w:szCs w:val="32"/>
        </w:rPr>
        <w:t>中共临西县委宣传部是临西县部门预算汇编范围内的独立核算单位，是单户录入的财政拨款行政单位，本单位是县级一级预算单位。纳入中共临西县委宣传部</w:t>
      </w:r>
      <w:r>
        <w:rPr>
          <w:rFonts w:hint="eastAsia" w:ascii="仿宋" w:hAnsi="仿宋" w:eastAsia="仿宋" w:cs="仿宋"/>
          <w:sz w:val="32"/>
          <w:szCs w:val="32"/>
          <w:lang w:eastAsia="zh-CN"/>
        </w:rPr>
        <w:t>预算的单位有</w:t>
      </w:r>
      <w:r>
        <w:rPr>
          <w:rFonts w:hint="eastAsia" w:ascii="仿宋" w:hAnsi="仿宋" w:eastAsia="仿宋" w:cs="仿宋"/>
          <w:sz w:val="32"/>
          <w:szCs w:val="32"/>
          <w:lang w:val="en-US" w:eastAsia="zh-CN"/>
        </w:rPr>
        <w:t>4家，分别是：中共临西县委宣传部、临西县文学艺术界联合会、临西县委互联网信息办公室</w:t>
      </w:r>
      <w:r>
        <w:rPr>
          <w:rFonts w:hint="eastAsia" w:ascii="仿宋" w:hAnsi="仿宋" w:eastAsia="仿宋" w:cs="仿宋"/>
          <w:sz w:val="32"/>
          <w:szCs w:val="32"/>
        </w:rPr>
        <w:t>、</w:t>
      </w:r>
      <w:r>
        <w:rPr>
          <w:rFonts w:hint="eastAsia" w:ascii="仿宋" w:hAnsi="仿宋" w:eastAsia="仿宋" w:cs="仿宋"/>
          <w:sz w:val="32"/>
          <w:szCs w:val="32"/>
          <w:lang w:eastAsia="zh-CN"/>
        </w:rPr>
        <w:t>临西县</w:t>
      </w:r>
      <w:r>
        <w:rPr>
          <w:rFonts w:hint="eastAsia" w:ascii="仿宋" w:hAnsi="仿宋" w:eastAsia="仿宋" w:cs="仿宋"/>
          <w:sz w:val="32"/>
          <w:szCs w:val="32"/>
        </w:rPr>
        <w:t>新闻中心。</w:t>
      </w:r>
    </w:p>
    <w:p>
      <w:pPr>
        <w:ind w:firstLine="560"/>
        <w:rPr>
          <w:rFonts w:hint="eastAsia" w:ascii="仿宋" w:hAnsi="仿宋" w:eastAsia="仿宋" w:cs="仿宋"/>
          <w:sz w:val="32"/>
          <w:szCs w:val="32"/>
        </w:rPr>
      </w:pPr>
    </w:p>
    <w:p>
      <w:pPr>
        <w:ind w:firstLine="560"/>
        <w:rPr>
          <w:rFonts w:hint="eastAsia" w:ascii="仿宋" w:hAnsi="仿宋" w:eastAsia="仿宋" w:cs="仿宋"/>
          <w:sz w:val="32"/>
          <w:szCs w:val="32"/>
        </w:rPr>
      </w:pPr>
    </w:p>
    <w:p>
      <w:pPr>
        <w:jc w:val="center"/>
        <w:outlineLvl w:val="0"/>
        <w:rPr>
          <w:rFonts w:ascii="Times New Roman" w:hAnsi="Times New Roman" w:eastAsia="方正小标宋_GBK"/>
          <w:sz w:val="32"/>
          <w:szCs w:val="32"/>
        </w:rPr>
      </w:pPr>
      <w:r>
        <w:rPr>
          <w:rFonts w:ascii="Times New Roman" w:hAnsi="Times New Roman" w:eastAsia="方正小标宋_GBK"/>
          <w:sz w:val="32"/>
          <w:szCs w:val="32"/>
        </w:rPr>
        <w:t>部门</w:t>
      </w:r>
      <w:r>
        <w:rPr>
          <w:rFonts w:hint="eastAsia" w:ascii="Times New Roman" w:hAnsi="Times New Roman" w:eastAsia="方正小标宋_GBK"/>
          <w:sz w:val="32"/>
          <w:szCs w:val="32"/>
        </w:rPr>
        <w:t>机构设置情况</w:t>
      </w:r>
    </w:p>
    <w:tbl>
      <w:tblPr>
        <w:tblStyle w:val="11"/>
        <w:tblW w:w="9820" w:type="dxa"/>
        <w:jc w:val="center"/>
        <w:tblInd w:w="-59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8"/>
        <w:gridCol w:w="1145"/>
        <w:gridCol w:w="1288"/>
        <w:gridCol w:w="29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4" w:hRule="atLeast"/>
          <w:tblHeader/>
          <w:jc w:val="center"/>
        </w:trPr>
        <w:tc>
          <w:tcPr>
            <w:tcW w:w="4458" w:type="dxa"/>
            <w:vMerge w:val="restart"/>
            <w:vAlign w:val="center"/>
          </w:tcPr>
          <w:p>
            <w:pPr>
              <w:keepNext w:val="0"/>
              <w:keepLines w:val="0"/>
              <w:suppressLineNumbers w:val="0"/>
              <w:spacing w:before="0" w:beforeAutospacing="0" w:after="0" w:afterAutospacing="0" w:line="300" w:lineRule="exact"/>
              <w:ind w:left="0" w:right="0"/>
              <w:jc w:val="center"/>
              <w:rPr>
                <w:rFonts w:hint="eastAsia" w:ascii="黑体" w:hAnsi="黑体" w:eastAsia="黑体" w:cs="黑体"/>
                <w:b w:val="0"/>
                <w:bCs/>
                <w:sz w:val="21"/>
                <w:szCs w:val="21"/>
              </w:rPr>
            </w:pPr>
            <w:r>
              <w:rPr>
                <w:rFonts w:hint="eastAsia" w:ascii="黑体" w:hAnsi="黑体" w:eastAsia="黑体" w:cs="黑体"/>
                <w:b w:val="0"/>
                <w:bCs/>
                <w:sz w:val="21"/>
                <w:szCs w:val="21"/>
              </w:rPr>
              <w:t>科室名称</w:t>
            </w:r>
          </w:p>
        </w:tc>
        <w:tc>
          <w:tcPr>
            <w:tcW w:w="1145" w:type="dxa"/>
            <w:vMerge w:val="restart"/>
            <w:vAlign w:val="center"/>
          </w:tcPr>
          <w:p>
            <w:pPr>
              <w:keepNext w:val="0"/>
              <w:keepLines w:val="0"/>
              <w:suppressLineNumbers w:val="0"/>
              <w:spacing w:before="0" w:beforeAutospacing="0" w:after="0" w:afterAutospacing="0" w:line="300" w:lineRule="exact"/>
              <w:ind w:left="0" w:right="0"/>
              <w:jc w:val="center"/>
              <w:rPr>
                <w:rFonts w:hint="eastAsia" w:ascii="黑体" w:hAnsi="黑体" w:eastAsia="黑体" w:cs="黑体"/>
                <w:b w:val="0"/>
                <w:bCs/>
                <w:sz w:val="21"/>
                <w:szCs w:val="21"/>
              </w:rPr>
            </w:pPr>
            <w:r>
              <w:rPr>
                <w:rFonts w:hint="eastAsia" w:ascii="黑体" w:hAnsi="黑体" w:eastAsia="黑体" w:cs="黑体"/>
                <w:b w:val="0"/>
                <w:bCs/>
                <w:sz w:val="21"/>
                <w:szCs w:val="21"/>
              </w:rPr>
              <w:t>单位性质</w:t>
            </w:r>
          </w:p>
        </w:tc>
        <w:tc>
          <w:tcPr>
            <w:tcW w:w="1288" w:type="dxa"/>
            <w:vMerge w:val="restart"/>
            <w:vAlign w:val="center"/>
          </w:tcPr>
          <w:p>
            <w:pPr>
              <w:keepNext w:val="0"/>
              <w:keepLines w:val="0"/>
              <w:suppressLineNumbers w:val="0"/>
              <w:spacing w:before="0" w:beforeAutospacing="0" w:after="0" w:afterAutospacing="0" w:line="300" w:lineRule="exact"/>
              <w:ind w:left="0" w:right="0"/>
              <w:jc w:val="center"/>
              <w:rPr>
                <w:rFonts w:hint="eastAsia" w:ascii="黑体" w:hAnsi="黑体" w:eastAsia="黑体" w:cs="黑体"/>
                <w:b w:val="0"/>
                <w:bCs/>
                <w:sz w:val="21"/>
                <w:szCs w:val="21"/>
              </w:rPr>
            </w:pPr>
            <w:r>
              <w:rPr>
                <w:rFonts w:hint="eastAsia" w:ascii="黑体" w:hAnsi="黑体" w:eastAsia="黑体" w:cs="黑体"/>
                <w:b w:val="0"/>
                <w:bCs/>
                <w:sz w:val="21"/>
                <w:szCs w:val="21"/>
              </w:rPr>
              <w:t>单位规格</w:t>
            </w:r>
          </w:p>
        </w:tc>
        <w:tc>
          <w:tcPr>
            <w:tcW w:w="2929" w:type="dxa"/>
            <w:vMerge w:val="restart"/>
            <w:vAlign w:val="center"/>
          </w:tcPr>
          <w:p>
            <w:pPr>
              <w:keepNext w:val="0"/>
              <w:keepLines w:val="0"/>
              <w:suppressLineNumbers w:val="0"/>
              <w:spacing w:before="0" w:beforeAutospacing="0" w:after="0" w:afterAutospacing="0" w:line="300" w:lineRule="exact"/>
              <w:ind w:left="0" w:right="0"/>
              <w:jc w:val="center"/>
              <w:rPr>
                <w:rFonts w:hint="eastAsia" w:ascii="黑体" w:hAnsi="黑体" w:eastAsia="黑体" w:cs="黑体"/>
                <w:b w:val="0"/>
                <w:bCs/>
                <w:sz w:val="21"/>
                <w:szCs w:val="21"/>
              </w:rPr>
            </w:pPr>
            <w:r>
              <w:rPr>
                <w:rFonts w:hint="eastAsia" w:ascii="黑体" w:hAnsi="黑体" w:eastAsia="黑体" w:cs="黑体"/>
                <w:b w:val="0"/>
                <w:bCs/>
                <w:sz w:val="21"/>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4458" w:type="dxa"/>
            <w:vMerge w:val="continue"/>
            <w:vAlign w:val="center"/>
          </w:tcPr>
          <w:p>
            <w:pPr>
              <w:keepNext w:val="0"/>
              <w:keepLines w:val="0"/>
              <w:suppressLineNumbers w:val="0"/>
              <w:spacing w:before="0" w:beforeAutospacing="0" w:after="0" w:afterAutospacing="0" w:line="300" w:lineRule="exact"/>
              <w:ind w:left="0" w:right="0"/>
              <w:jc w:val="left"/>
              <w:outlineLvl w:val="0"/>
              <w:rPr>
                <w:rFonts w:hint="default" w:ascii="Times New Roman" w:hAnsi="Times New Roman"/>
                <w:sz w:val="21"/>
                <w:szCs w:val="21"/>
              </w:rPr>
            </w:pPr>
          </w:p>
        </w:tc>
        <w:tc>
          <w:tcPr>
            <w:tcW w:w="1145" w:type="dxa"/>
            <w:vMerge w:val="continue"/>
            <w:vAlign w:val="center"/>
          </w:tcPr>
          <w:p>
            <w:pPr>
              <w:keepNext w:val="0"/>
              <w:keepLines w:val="0"/>
              <w:suppressLineNumbers w:val="0"/>
              <w:spacing w:before="0" w:beforeAutospacing="0" w:after="0" w:afterAutospacing="0" w:line="300" w:lineRule="exact"/>
              <w:ind w:left="0" w:right="0"/>
              <w:jc w:val="left"/>
              <w:outlineLvl w:val="0"/>
              <w:rPr>
                <w:rFonts w:hint="default" w:ascii="Times New Roman" w:hAnsi="Times New Roman"/>
                <w:sz w:val="21"/>
                <w:szCs w:val="21"/>
              </w:rPr>
            </w:pPr>
          </w:p>
        </w:tc>
        <w:tc>
          <w:tcPr>
            <w:tcW w:w="1288" w:type="dxa"/>
            <w:vMerge w:val="continue"/>
            <w:vAlign w:val="center"/>
          </w:tcPr>
          <w:p>
            <w:pPr>
              <w:keepNext w:val="0"/>
              <w:keepLines w:val="0"/>
              <w:suppressLineNumbers w:val="0"/>
              <w:spacing w:before="0" w:beforeAutospacing="0" w:after="0" w:afterAutospacing="0" w:line="300" w:lineRule="exact"/>
              <w:ind w:left="0" w:right="0"/>
              <w:jc w:val="left"/>
              <w:outlineLvl w:val="0"/>
              <w:rPr>
                <w:rFonts w:hint="default" w:ascii="Times New Roman" w:hAnsi="Times New Roman"/>
                <w:sz w:val="21"/>
                <w:szCs w:val="21"/>
              </w:rPr>
            </w:pPr>
          </w:p>
        </w:tc>
        <w:tc>
          <w:tcPr>
            <w:tcW w:w="2929" w:type="dxa"/>
            <w:vMerge w:val="continue"/>
            <w:vAlign w:val="center"/>
          </w:tcPr>
          <w:p>
            <w:pPr>
              <w:keepNext w:val="0"/>
              <w:keepLines w:val="0"/>
              <w:suppressLineNumbers w:val="0"/>
              <w:spacing w:before="0" w:beforeAutospacing="0" w:after="0" w:afterAutospacing="0" w:line="300" w:lineRule="exact"/>
              <w:ind w:left="0" w:right="0"/>
              <w:jc w:val="left"/>
              <w:outlineLvl w:val="0"/>
              <w:rPr>
                <w:rFonts w:hint="default" w:ascii="Times New Roman" w:hAnsi="Times New Roman"/>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4" w:hRule="atLeast"/>
          <w:jc w:val="center"/>
        </w:trPr>
        <w:tc>
          <w:tcPr>
            <w:tcW w:w="4458" w:type="dxa"/>
            <w:vAlign w:val="center"/>
          </w:tcPr>
          <w:p>
            <w:pPr>
              <w:keepNext w:val="0"/>
              <w:keepLines w:val="0"/>
              <w:suppressLineNumbers w:val="0"/>
              <w:spacing w:before="0" w:beforeAutospacing="0" w:after="0" w:afterAutospacing="0" w:line="300" w:lineRule="exact"/>
              <w:ind w:left="0" w:right="0"/>
              <w:jc w:val="both"/>
              <w:rPr>
                <w:rFonts w:hint="default" w:ascii="Times New Roman" w:hAnsi="Times New Roman" w:eastAsia="方正书宋_GBK"/>
                <w:sz w:val="21"/>
                <w:szCs w:val="21"/>
              </w:rPr>
            </w:pPr>
            <w:r>
              <w:rPr>
                <w:rFonts w:hint="eastAsia" w:ascii="Times New Roman" w:hAnsi="Times New Roman" w:eastAsia="方正书宋_GBK"/>
                <w:sz w:val="21"/>
                <w:szCs w:val="21"/>
                <w:lang w:eastAsia="zh-CN"/>
              </w:rPr>
              <w:t>中共临西县委</w:t>
            </w:r>
            <w:r>
              <w:rPr>
                <w:rFonts w:hint="eastAsia" w:ascii="Times New Roman" w:hAnsi="Times New Roman" w:eastAsia="方正书宋_GBK"/>
                <w:sz w:val="21"/>
                <w:szCs w:val="21"/>
              </w:rPr>
              <w:t>宣传部</w:t>
            </w:r>
          </w:p>
        </w:tc>
        <w:tc>
          <w:tcPr>
            <w:tcW w:w="1145"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书宋_GBK"/>
                <w:sz w:val="21"/>
                <w:szCs w:val="21"/>
              </w:rPr>
            </w:pPr>
            <w:r>
              <w:rPr>
                <w:rFonts w:hint="eastAsia" w:ascii="Times New Roman" w:hAnsi="Times New Roman" w:eastAsia="方正书宋_GBK"/>
                <w:sz w:val="21"/>
                <w:szCs w:val="21"/>
              </w:rPr>
              <w:t>行政</w:t>
            </w:r>
          </w:p>
        </w:tc>
        <w:tc>
          <w:tcPr>
            <w:tcW w:w="1288"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书宋_GBK"/>
                <w:sz w:val="21"/>
                <w:szCs w:val="21"/>
              </w:rPr>
            </w:pPr>
            <w:r>
              <w:rPr>
                <w:rFonts w:hint="eastAsia" w:ascii="Times New Roman" w:hAnsi="Times New Roman" w:eastAsia="方正书宋_GBK"/>
                <w:sz w:val="21"/>
                <w:szCs w:val="21"/>
              </w:rPr>
              <w:t>正科级</w:t>
            </w:r>
          </w:p>
        </w:tc>
        <w:tc>
          <w:tcPr>
            <w:tcW w:w="2929"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书宋_GBK"/>
                <w:sz w:val="21"/>
                <w:szCs w:val="21"/>
              </w:rPr>
            </w:pPr>
            <w:r>
              <w:rPr>
                <w:rFonts w:hint="eastAsia" w:ascii="Times New Roman" w:hAnsi="Times New Roman" w:eastAsia="方正书宋_GBK"/>
                <w:sz w:val="21"/>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4" w:hRule="atLeast"/>
          <w:jc w:val="center"/>
        </w:trPr>
        <w:tc>
          <w:tcPr>
            <w:tcW w:w="4458" w:type="dxa"/>
            <w:vAlign w:val="center"/>
          </w:tcPr>
          <w:p>
            <w:pPr>
              <w:keepNext w:val="0"/>
              <w:keepLines w:val="0"/>
              <w:suppressLineNumbers w:val="0"/>
              <w:spacing w:before="0" w:beforeAutospacing="0" w:after="0" w:afterAutospacing="0" w:line="300" w:lineRule="exact"/>
              <w:ind w:left="0" w:right="0"/>
              <w:jc w:val="both"/>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临西县文学艺术界联合会</w:t>
            </w:r>
          </w:p>
        </w:tc>
        <w:tc>
          <w:tcPr>
            <w:tcW w:w="1145"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书宋_GBK"/>
                <w:sz w:val="21"/>
                <w:szCs w:val="21"/>
              </w:rPr>
            </w:pPr>
            <w:r>
              <w:rPr>
                <w:rFonts w:hint="eastAsia" w:ascii="Times New Roman" w:hAnsi="Times New Roman" w:eastAsia="方正书宋_GBK"/>
                <w:sz w:val="21"/>
                <w:szCs w:val="21"/>
              </w:rPr>
              <w:t>参公</w:t>
            </w:r>
          </w:p>
        </w:tc>
        <w:tc>
          <w:tcPr>
            <w:tcW w:w="1288"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书宋_GBK"/>
                <w:sz w:val="21"/>
                <w:szCs w:val="21"/>
              </w:rPr>
            </w:pPr>
            <w:r>
              <w:rPr>
                <w:rFonts w:hint="eastAsia" w:ascii="Times New Roman" w:hAnsi="Times New Roman" w:eastAsia="方正书宋_GBK"/>
                <w:sz w:val="21"/>
                <w:szCs w:val="21"/>
              </w:rPr>
              <w:t>正科级</w:t>
            </w:r>
          </w:p>
        </w:tc>
        <w:tc>
          <w:tcPr>
            <w:tcW w:w="2929"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书宋_GBK"/>
                <w:sz w:val="21"/>
                <w:szCs w:val="21"/>
              </w:rPr>
            </w:pPr>
            <w:r>
              <w:rPr>
                <w:rFonts w:hint="eastAsia" w:ascii="Times New Roman" w:hAnsi="Times New Roman" w:eastAsia="方正书宋_GBK"/>
                <w:sz w:val="21"/>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4" w:hRule="atLeast"/>
          <w:jc w:val="center"/>
        </w:trPr>
        <w:tc>
          <w:tcPr>
            <w:tcW w:w="4458" w:type="dxa"/>
            <w:vAlign w:val="center"/>
          </w:tcPr>
          <w:p>
            <w:pPr>
              <w:keepNext w:val="0"/>
              <w:keepLines w:val="0"/>
              <w:suppressLineNumbers w:val="0"/>
              <w:spacing w:before="0" w:beforeAutospacing="0" w:after="0" w:afterAutospacing="0" w:line="300" w:lineRule="exact"/>
              <w:ind w:left="0" w:right="0"/>
              <w:jc w:val="both"/>
              <w:rPr>
                <w:rFonts w:hint="eastAsia" w:ascii="Times New Roman" w:hAnsi="Times New Roman" w:eastAsia="方正书宋_GBK"/>
                <w:sz w:val="21"/>
                <w:szCs w:val="21"/>
                <w:lang w:eastAsia="zh-CN"/>
              </w:rPr>
            </w:pPr>
            <w:r>
              <w:rPr>
                <w:rFonts w:hint="eastAsia" w:ascii="Times New Roman" w:hAnsi="Times New Roman" w:eastAsia="方正书宋_GBK"/>
                <w:sz w:val="21"/>
                <w:szCs w:val="21"/>
                <w:lang w:eastAsia="zh-CN"/>
              </w:rPr>
              <w:t>临西县委互联网信息办公室</w:t>
            </w:r>
          </w:p>
        </w:tc>
        <w:tc>
          <w:tcPr>
            <w:tcW w:w="1145"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书宋_GBK"/>
                <w:sz w:val="21"/>
                <w:szCs w:val="21"/>
              </w:rPr>
            </w:pPr>
            <w:r>
              <w:rPr>
                <w:rFonts w:hint="eastAsia" w:ascii="Times New Roman" w:hAnsi="Times New Roman" w:eastAsia="方正书宋_GBK"/>
                <w:sz w:val="21"/>
                <w:szCs w:val="21"/>
              </w:rPr>
              <w:t>行政</w:t>
            </w:r>
          </w:p>
        </w:tc>
        <w:tc>
          <w:tcPr>
            <w:tcW w:w="1288"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书宋_GBK"/>
                <w:sz w:val="21"/>
                <w:szCs w:val="21"/>
              </w:rPr>
            </w:pPr>
            <w:r>
              <w:rPr>
                <w:rFonts w:hint="eastAsia" w:ascii="Times New Roman" w:hAnsi="Times New Roman" w:eastAsia="方正书宋_GBK"/>
                <w:sz w:val="21"/>
                <w:szCs w:val="21"/>
              </w:rPr>
              <w:t>正科级</w:t>
            </w:r>
          </w:p>
        </w:tc>
        <w:tc>
          <w:tcPr>
            <w:tcW w:w="2929"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书宋_GBK"/>
                <w:sz w:val="21"/>
                <w:szCs w:val="21"/>
              </w:rPr>
            </w:pPr>
            <w:r>
              <w:rPr>
                <w:rFonts w:hint="eastAsia" w:ascii="Times New Roman" w:hAnsi="Times New Roman" w:eastAsia="方正书宋_GBK"/>
                <w:sz w:val="21"/>
                <w:szCs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1" w:hRule="atLeast"/>
          <w:jc w:val="center"/>
        </w:trPr>
        <w:tc>
          <w:tcPr>
            <w:tcW w:w="4458" w:type="dxa"/>
            <w:vAlign w:val="center"/>
          </w:tcPr>
          <w:p>
            <w:pPr>
              <w:keepNext w:val="0"/>
              <w:keepLines w:val="0"/>
              <w:suppressLineNumbers w:val="0"/>
              <w:spacing w:before="0" w:beforeAutospacing="0" w:after="0" w:afterAutospacing="0" w:line="300" w:lineRule="exact"/>
              <w:ind w:left="0" w:right="0"/>
              <w:jc w:val="both"/>
              <w:rPr>
                <w:rFonts w:hint="default" w:ascii="Times New Roman" w:hAnsi="Times New Roman" w:eastAsia="方正书宋_GBK"/>
                <w:sz w:val="21"/>
                <w:szCs w:val="21"/>
              </w:rPr>
            </w:pPr>
            <w:r>
              <w:rPr>
                <w:rFonts w:hint="eastAsia" w:ascii="Times New Roman" w:hAnsi="Times New Roman" w:eastAsia="方正书宋_GBK"/>
                <w:sz w:val="21"/>
                <w:szCs w:val="21"/>
                <w:lang w:eastAsia="zh-CN"/>
              </w:rPr>
              <w:t>临西县</w:t>
            </w:r>
            <w:r>
              <w:rPr>
                <w:rFonts w:hint="eastAsia" w:ascii="Times New Roman" w:hAnsi="Times New Roman" w:eastAsia="方正书宋_GBK"/>
                <w:sz w:val="21"/>
                <w:szCs w:val="21"/>
              </w:rPr>
              <w:t>新闻中心</w:t>
            </w:r>
          </w:p>
        </w:tc>
        <w:tc>
          <w:tcPr>
            <w:tcW w:w="1145"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书宋_GBK"/>
                <w:sz w:val="21"/>
                <w:szCs w:val="21"/>
              </w:rPr>
            </w:pPr>
            <w:r>
              <w:rPr>
                <w:rFonts w:hint="eastAsia" w:ascii="Times New Roman" w:hAnsi="Times New Roman" w:eastAsia="方正书宋_GBK"/>
                <w:sz w:val="21"/>
                <w:szCs w:val="21"/>
              </w:rPr>
              <w:t>事业</w:t>
            </w:r>
          </w:p>
        </w:tc>
        <w:tc>
          <w:tcPr>
            <w:tcW w:w="1288" w:type="dxa"/>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方正书宋_GBK"/>
                <w:sz w:val="21"/>
                <w:szCs w:val="21"/>
              </w:rPr>
            </w:pPr>
            <w:r>
              <w:rPr>
                <w:rFonts w:hint="eastAsia" w:ascii="Times New Roman" w:hAnsi="Times New Roman" w:eastAsia="方正书宋_GBK"/>
                <w:sz w:val="21"/>
                <w:szCs w:val="21"/>
              </w:rPr>
              <w:t>股级</w:t>
            </w:r>
          </w:p>
        </w:tc>
        <w:tc>
          <w:tcPr>
            <w:tcW w:w="2929" w:type="dxa"/>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方正书宋_GBK"/>
                <w:sz w:val="21"/>
                <w:szCs w:val="21"/>
                <w:lang w:eastAsia="zh-CN"/>
              </w:rPr>
            </w:pPr>
            <w:r>
              <w:rPr>
                <w:rFonts w:hint="eastAsia" w:ascii="Times New Roman" w:hAnsi="Times New Roman" w:eastAsia="方正书宋_GBK"/>
                <w:sz w:val="21"/>
                <w:szCs w:val="21"/>
              </w:rPr>
              <w:t>财政</w:t>
            </w:r>
            <w:r>
              <w:rPr>
                <w:rFonts w:hint="eastAsia" w:ascii="Times New Roman" w:hAnsi="Times New Roman" w:eastAsia="方正书宋_GBK"/>
                <w:sz w:val="21"/>
                <w:szCs w:val="21"/>
                <w:lang w:eastAsia="zh-CN"/>
              </w:rPr>
              <w:t>零补助</w:t>
            </w:r>
          </w:p>
        </w:tc>
      </w:tr>
    </w:tbl>
    <w:p>
      <w:pPr>
        <w:ind w:firstLine="560"/>
        <w:rPr>
          <w:rFonts w:hint="eastAsia" w:ascii="黑体" w:hAnsi="黑体" w:eastAsia="黑体"/>
          <w:color w:val="000000"/>
          <w:sz w:val="32"/>
          <w:szCs w:val="32"/>
        </w:rPr>
      </w:pPr>
    </w:p>
    <w:p>
      <w:pPr>
        <w:ind w:firstLine="560"/>
        <w:rPr>
          <w:rFonts w:ascii="黑体" w:hAnsi="黑体" w:eastAsia="黑体"/>
          <w:color w:val="000000"/>
          <w:sz w:val="32"/>
          <w:szCs w:val="32"/>
        </w:rPr>
      </w:pPr>
      <w:r>
        <w:rPr>
          <w:rFonts w:hint="eastAsia" w:ascii="黑体" w:hAnsi="黑体" w:eastAsia="黑体"/>
          <w:color w:val="000000"/>
          <w:sz w:val="32"/>
          <w:szCs w:val="32"/>
        </w:rPr>
        <w:t>二、部门预算安排的总体情况</w:t>
      </w:r>
    </w:p>
    <w:p>
      <w:pPr>
        <w:ind w:firstLine="560"/>
        <w:rPr>
          <w:rFonts w:hint="eastAsia" w:ascii="Times New Roman" w:hAnsi="Times New Roman" w:eastAsia="仿宋"/>
          <w:sz w:val="32"/>
          <w:szCs w:val="32"/>
          <w:lang w:eastAsia="zh-CN"/>
        </w:rPr>
      </w:pPr>
      <w:r>
        <w:rPr>
          <w:rFonts w:ascii="Times New Roman" w:hAnsi="Times New Roman" w:eastAsia="仿宋"/>
          <w:sz w:val="32"/>
          <w:szCs w:val="32"/>
        </w:rPr>
        <w:t>按照预算管理有关规定，目前我</w:t>
      </w:r>
      <w:r>
        <w:rPr>
          <w:rFonts w:hint="eastAsia" w:ascii="Times New Roman" w:hAnsi="Times New Roman" w:eastAsia="仿宋"/>
          <w:sz w:val="32"/>
          <w:szCs w:val="32"/>
          <w:lang w:eastAsia="zh-CN"/>
        </w:rPr>
        <w:t>县</w:t>
      </w:r>
      <w:r>
        <w:rPr>
          <w:rFonts w:ascii="Times New Roman" w:hAnsi="Times New Roman" w:eastAsia="仿宋"/>
          <w:sz w:val="32"/>
          <w:szCs w:val="32"/>
        </w:rPr>
        <w:t>部门预算的编制实行综合预算制度，即全部收入和支出都反映的预算中。</w:t>
      </w:r>
      <w:r>
        <w:rPr>
          <w:rFonts w:hint="eastAsia" w:ascii="Times New Roman" w:hAnsi="Times New Roman" w:eastAsia="仿宋"/>
          <w:sz w:val="32"/>
          <w:szCs w:val="32"/>
          <w:lang w:eastAsia="zh-CN"/>
        </w:rPr>
        <w:t>中共临西县委宣传部机关及所属单位收支全部包含在本部门预算中。</w:t>
      </w:r>
    </w:p>
    <w:p>
      <w:pPr>
        <w:numPr>
          <w:ilvl w:val="0"/>
          <w:numId w:val="0"/>
        </w:numPr>
        <w:ind w:firstLine="640" w:firstLineChars="200"/>
        <w:rPr>
          <w:rFonts w:ascii="Times New Roman" w:hAnsi="Times New Roman" w:eastAsia="仿宋"/>
          <w:sz w:val="32"/>
          <w:szCs w:val="32"/>
        </w:rPr>
      </w:pPr>
      <w:r>
        <w:rPr>
          <w:rFonts w:hint="eastAsia" w:ascii="Times New Roman" w:hAnsi="Times New Roman" w:eastAsia="仿宋"/>
          <w:sz w:val="32"/>
          <w:szCs w:val="32"/>
          <w:lang w:val="en-US" w:eastAsia="zh-CN"/>
        </w:rPr>
        <w:t>1、</w:t>
      </w:r>
      <w:r>
        <w:rPr>
          <w:rFonts w:hint="eastAsia" w:ascii="Times New Roman" w:hAnsi="Times New Roman" w:eastAsia="仿宋"/>
          <w:sz w:val="32"/>
          <w:szCs w:val="32"/>
        </w:rPr>
        <w:t>收入说明</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反应本部门当年全部收入。201</w:t>
      </w:r>
      <w:r>
        <w:rPr>
          <w:rFonts w:hint="eastAsia" w:ascii="Times New Roman" w:hAnsi="Times New Roman" w:eastAsia="仿宋"/>
          <w:sz w:val="32"/>
          <w:szCs w:val="32"/>
          <w:lang w:val="en-US" w:eastAsia="zh-CN"/>
        </w:rPr>
        <w:t>9</w:t>
      </w:r>
      <w:r>
        <w:rPr>
          <w:rFonts w:hint="eastAsia" w:ascii="Times New Roman" w:hAnsi="Times New Roman" w:eastAsia="仿宋"/>
          <w:sz w:val="32"/>
          <w:szCs w:val="32"/>
        </w:rPr>
        <w:t>年预算收入</w:t>
      </w:r>
      <w:r>
        <w:rPr>
          <w:rFonts w:hint="eastAsia" w:ascii="Times New Roman" w:hAnsi="Times New Roman" w:eastAsia="仿宋"/>
          <w:sz w:val="32"/>
          <w:szCs w:val="32"/>
          <w:lang w:val="en-US" w:eastAsia="zh-CN"/>
        </w:rPr>
        <w:t>252.3</w:t>
      </w:r>
      <w:r>
        <w:rPr>
          <w:rFonts w:hint="eastAsia" w:ascii="Times New Roman" w:hAnsi="Times New Roman" w:eastAsia="仿宋"/>
          <w:sz w:val="32"/>
          <w:szCs w:val="32"/>
        </w:rPr>
        <w:t>万元，其中：一般公共预算收入</w:t>
      </w:r>
      <w:r>
        <w:rPr>
          <w:rFonts w:hint="eastAsia" w:ascii="Times New Roman" w:hAnsi="Times New Roman" w:eastAsia="仿宋"/>
          <w:sz w:val="32"/>
          <w:szCs w:val="32"/>
          <w:lang w:val="en-US" w:eastAsia="zh-CN"/>
        </w:rPr>
        <w:t>252.3</w:t>
      </w:r>
      <w:r>
        <w:rPr>
          <w:rFonts w:hint="eastAsia" w:ascii="Times New Roman" w:hAnsi="Times New Roman" w:eastAsia="仿宋"/>
          <w:sz w:val="32"/>
          <w:szCs w:val="32"/>
        </w:rPr>
        <w:t>万元，基金预算收入0万元</w:t>
      </w:r>
      <w:r>
        <w:rPr>
          <w:rFonts w:hint="eastAsia" w:ascii="Times New Roman" w:hAnsi="Times New Roman" w:eastAsia="仿宋"/>
          <w:sz w:val="32"/>
          <w:szCs w:val="32"/>
          <w:lang w:eastAsia="zh-CN"/>
        </w:rPr>
        <w:t>；上级提前通知转移支付收入</w:t>
      </w:r>
      <w:r>
        <w:rPr>
          <w:rFonts w:hint="eastAsia" w:ascii="Times New Roman" w:hAnsi="Times New Roman" w:eastAsia="仿宋"/>
          <w:sz w:val="32"/>
          <w:szCs w:val="32"/>
          <w:lang w:val="en-US" w:eastAsia="zh-CN"/>
        </w:rPr>
        <w:t>0万元（其中：一般公共预算收入0万元，基金收入0万元）</w:t>
      </w:r>
      <w:r>
        <w:rPr>
          <w:rFonts w:hint="eastAsia" w:ascii="Times New Roman" w:hAnsi="Times New Roman" w:eastAsia="仿宋"/>
          <w:sz w:val="32"/>
          <w:szCs w:val="32"/>
        </w:rPr>
        <w:t>。</w:t>
      </w:r>
    </w:p>
    <w:p>
      <w:pPr>
        <w:numPr>
          <w:ilvl w:val="0"/>
          <w:numId w:val="0"/>
        </w:numPr>
        <w:ind w:firstLine="640" w:firstLineChars="200"/>
        <w:rPr>
          <w:rFonts w:ascii="Times New Roman" w:hAnsi="Times New Roman" w:eastAsia="仿宋"/>
          <w:sz w:val="32"/>
          <w:szCs w:val="32"/>
        </w:rPr>
      </w:pPr>
      <w:r>
        <w:rPr>
          <w:rFonts w:hint="eastAsia" w:ascii="Times New Roman" w:hAnsi="Times New Roman" w:eastAsia="仿宋"/>
          <w:sz w:val="32"/>
          <w:szCs w:val="32"/>
          <w:lang w:val="en-US" w:eastAsia="zh-CN"/>
        </w:rPr>
        <w:t>2、</w:t>
      </w:r>
      <w:r>
        <w:rPr>
          <w:rFonts w:hint="eastAsia" w:ascii="Times New Roman" w:hAnsi="Times New Roman" w:eastAsia="仿宋"/>
          <w:sz w:val="32"/>
          <w:szCs w:val="32"/>
        </w:rPr>
        <w:t>支出说明</w:t>
      </w:r>
    </w:p>
    <w:p>
      <w:pPr>
        <w:ind w:firstLine="640" w:firstLineChars="200"/>
        <w:rPr>
          <w:rFonts w:hint="eastAsia" w:ascii="仿宋" w:hAnsi="仿宋" w:eastAsia="仿宋" w:cs="仿宋"/>
          <w:sz w:val="32"/>
          <w:szCs w:val="32"/>
        </w:rPr>
      </w:pPr>
      <w:r>
        <w:rPr>
          <w:rFonts w:hint="eastAsia" w:ascii="Times New Roman" w:hAnsi="Times New Roman" w:eastAsia="仿宋"/>
          <w:sz w:val="32"/>
          <w:szCs w:val="32"/>
        </w:rPr>
        <w:t>收支预算总表支出栏、基本支出表、项目支出表按经济分类和支出功能分类科目编制，反映临西县委宣传部年度部门预算中支出预算的总体情况。</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年度部门支出预算</w:t>
      </w:r>
      <w:r>
        <w:rPr>
          <w:rFonts w:hint="eastAsia" w:ascii="仿宋" w:hAnsi="仿宋" w:eastAsia="仿宋" w:cs="仿宋"/>
          <w:sz w:val="32"/>
          <w:szCs w:val="32"/>
          <w:lang w:val="en-US" w:eastAsia="zh-CN"/>
        </w:rPr>
        <w:t>252.3</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182.3</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包括人员经费</w:t>
      </w:r>
      <w:r>
        <w:rPr>
          <w:rFonts w:hint="eastAsia" w:ascii="仿宋" w:hAnsi="仿宋" w:eastAsia="仿宋" w:cs="仿宋"/>
          <w:sz w:val="32"/>
          <w:szCs w:val="32"/>
          <w:lang w:val="en-US" w:eastAsia="zh-CN"/>
        </w:rPr>
        <w:t>166</w:t>
      </w:r>
      <w:r>
        <w:rPr>
          <w:rFonts w:hint="eastAsia" w:ascii="仿宋" w:hAnsi="仿宋" w:eastAsia="仿宋" w:cs="仿宋"/>
          <w:sz w:val="32"/>
          <w:szCs w:val="32"/>
        </w:rPr>
        <w:t>万元和日常公用经费</w:t>
      </w:r>
      <w:r>
        <w:rPr>
          <w:rFonts w:hint="eastAsia" w:ascii="仿宋" w:hAnsi="仿宋" w:eastAsia="仿宋" w:cs="仿宋"/>
          <w:sz w:val="32"/>
          <w:szCs w:val="32"/>
          <w:lang w:val="en-US" w:eastAsia="zh-CN"/>
        </w:rPr>
        <w:t>16.3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；项目支出</w:t>
      </w:r>
      <w:r>
        <w:rPr>
          <w:rFonts w:hint="eastAsia" w:ascii="仿宋" w:hAnsi="仿宋" w:eastAsia="仿宋" w:cs="仿宋"/>
          <w:sz w:val="32"/>
          <w:szCs w:val="32"/>
          <w:lang w:val="en-US" w:eastAsia="zh-CN"/>
        </w:rPr>
        <w:t>70</w:t>
      </w:r>
      <w:r>
        <w:rPr>
          <w:rFonts w:hint="eastAsia" w:ascii="仿宋" w:hAnsi="仿宋" w:eastAsia="仿宋" w:cs="仿宋"/>
          <w:sz w:val="32"/>
          <w:szCs w:val="32"/>
        </w:rPr>
        <w:t>万元</w:t>
      </w:r>
      <w:r>
        <w:rPr>
          <w:rFonts w:hint="eastAsia" w:ascii="仿宋" w:hAnsi="仿宋" w:eastAsia="仿宋" w:cs="仿宋"/>
          <w:sz w:val="32"/>
          <w:szCs w:val="32"/>
          <w:lang w:eastAsia="zh-CN"/>
        </w:rPr>
        <w:t>（其中，专项公用经费</w:t>
      </w:r>
      <w:r>
        <w:rPr>
          <w:rFonts w:hint="eastAsia" w:ascii="仿宋" w:hAnsi="仿宋" w:eastAsia="仿宋" w:cs="仿宋"/>
          <w:sz w:val="32"/>
          <w:szCs w:val="32"/>
          <w:lang w:val="en-US" w:eastAsia="zh-CN"/>
        </w:rPr>
        <w:t>70万元主要用于宣传事务项目支出</w:t>
      </w:r>
      <w:r>
        <w:rPr>
          <w:rFonts w:hint="eastAsia" w:ascii="仿宋" w:hAnsi="仿宋" w:eastAsia="仿宋" w:cs="仿宋"/>
          <w:sz w:val="32"/>
          <w:szCs w:val="32"/>
        </w:rPr>
        <w:t>，</w:t>
      </w:r>
      <w:r>
        <w:rPr>
          <w:rFonts w:hint="eastAsia" w:ascii="仿宋" w:hAnsi="仿宋" w:eastAsia="仿宋" w:cs="仿宋"/>
          <w:sz w:val="32"/>
          <w:szCs w:val="32"/>
          <w:lang w:eastAsia="zh-CN"/>
        </w:rPr>
        <w:t>专项项目支出</w:t>
      </w:r>
      <w:r>
        <w:rPr>
          <w:rFonts w:hint="eastAsia" w:ascii="仿宋" w:hAnsi="仿宋" w:eastAsia="仿宋" w:cs="仿宋"/>
          <w:sz w:val="32"/>
          <w:szCs w:val="32"/>
          <w:lang w:val="en-US" w:eastAsia="zh-CN"/>
        </w:rPr>
        <w:t>0万元</w:t>
      </w:r>
      <w:r>
        <w:rPr>
          <w:rFonts w:hint="eastAsia" w:ascii="仿宋" w:hAnsi="仿宋" w:eastAsia="仿宋" w:cs="仿宋"/>
          <w:sz w:val="32"/>
          <w:szCs w:val="32"/>
          <w:lang w:eastAsia="zh-CN"/>
        </w:rPr>
        <w:t>）</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3、比上年增减情况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预算收支安排252.3万元，较2018年增加11.44万元。其中，基本支出增加14.14万元，主要为人员基本工资普调工资上涨，医保、公积金单位缴纳部分纳入本年度预算；项目支出减少19万元，主要为2019年度无上级部门专项资金下达。</w:t>
      </w:r>
    </w:p>
    <w:p>
      <w:pPr>
        <w:tabs>
          <w:tab w:val="center" w:pos="4156"/>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ind w:firstLine="640"/>
        <w:jc w:val="left"/>
        <w:rPr>
          <w:rFonts w:ascii="黑体" w:hAnsi="黑体" w:eastAsia="黑体"/>
          <w:color w:val="000000"/>
          <w:sz w:val="32"/>
          <w:szCs w:val="32"/>
        </w:rPr>
      </w:pPr>
      <w:r>
        <w:rPr>
          <w:rFonts w:hint="eastAsia" w:ascii="黑体" w:hAnsi="黑体" w:eastAsia="黑体"/>
          <w:color w:val="000000"/>
          <w:sz w:val="32"/>
          <w:szCs w:val="32"/>
        </w:rPr>
        <w:t>三、机关运行经费安排情况</w:t>
      </w:r>
    </w:p>
    <w:p>
      <w:pPr>
        <w:rPr>
          <w:rFonts w:ascii="仿宋" w:hAnsi="仿宋" w:eastAsia="仿宋" w:cs="仿宋"/>
          <w:sz w:val="32"/>
          <w:szCs w:val="32"/>
        </w:rPr>
      </w:pPr>
      <w:r>
        <w:rPr>
          <w:rFonts w:ascii="仿宋" w:hAnsi="仿宋" w:eastAsia="仿宋" w:cs="仿宋"/>
          <w:sz w:val="32"/>
          <w:szCs w:val="32"/>
        </w:rPr>
        <w:t xml:space="preserve">    201</w:t>
      </w:r>
      <w:r>
        <w:rPr>
          <w:rFonts w:hint="eastAsia" w:ascii="仿宋" w:hAnsi="仿宋" w:eastAsia="仿宋" w:cs="仿宋"/>
          <w:sz w:val="32"/>
          <w:szCs w:val="32"/>
          <w:lang w:val="en-US" w:eastAsia="zh-CN"/>
        </w:rPr>
        <w:t>9</w:t>
      </w:r>
      <w:r>
        <w:rPr>
          <w:rFonts w:hint="eastAsia" w:ascii="仿宋" w:hAnsi="仿宋" w:eastAsia="仿宋" w:cs="仿宋"/>
          <w:sz w:val="32"/>
          <w:szCs w:val="32"/>
        </w:rPr>
        <w:t>年中共临西县委部门机关运行经费预算安排5.</w:t>
      </w:r>
      <w:r>
        <w:rPr>
          <w:rFonts w:hint="eastAsia" w:ascii="仿宋" w:hAnsi="仿宋" w:eastAsia="仿宋" w:cs="仿宋"/>
          <w:sz w:val="32"/>
          <w:szCs w:val="32"/>
          <w:lang w:val="en-US" w:eastAsia="zh-CN"/>
        </w:rPr>
        <w:t>8</w:t>
      </w:r>
      <w:r>
        <w:rPr>
          <w:rFonts w:hint="eastAsia" w:ascii="仿宋" w:hAnsi="仿宋" w:eastAsia="仿宋" w:cs="仿宋"/>
          <w:sz w:val="32"/>
          <w:szCs w:val="32"/>
        </w:rPr>
        <w:t>万元，用于</w:t>
      </w:r>
      <w:r>
        <w:rPr>
          <w:rFonts w:hint="eastAsia" w:ascii="仿宋" w:hAnsi="仿宋" w:eastAsia="仿宋" w:cs="仿宋"/>
          <w:sz w:val="32"/>
          <w:szCs w:val="32"/>
          <w:lang w:eastAsia="zh-CN"/>
        </w:rPr>
        <w:t>中共临西县委宣传部</w:t>
      </w:r>
      <w:r>
        <w:rPr>
          <w:rFonts w:hint="eastAsia" w:ascii="仿宋" w:hAnsi="仿宋" w:eastAsia="仿宋" w:cs="仿宋"/>
          <w:sz w:val="32"/>
          <w:szCs w:val="32"/>
        </w:rPr>
        <w:t>机关的</w:t>
      </w:r>
      <w:r>
        <w:rPr>
          <w:rFonts w:hint="eastAsia" w:ascii="仿宋" w:hAnsi="仿宋" w:eastAsia="仿宋" w:cs="仿宋"/>
          <w:sz w:val="32"/>
          <w:szCs w:val="32"/>
          <w:lang w:eastAsia="zh-CN"/>
        </w:rPr>
        <w:t>办公费、印刷费、差旅费、公务用车运行维护、公务招待等日常</w:t>
      </w:r>
      <w:r>
        <w:rPr>
          <w:rFonts w:hint="eastAsia" w:ascii="仿宋" w:hAnsi="仿宋" w:eastAsia="仿宋" w:cs="仿宋"/>
          <w:sz w:val="32"/>
          <w:szCs w:val="32"/>
        </w:rPr>
        <w:t>支出，保障</w:t>
      </w:r>
      <w:r>
        <w:rPr>
          <w:rFonts w:hint="eastAsia" w:ascii="仿宋" w:hAnsi="仿宋" w:eastAsia="仿宋" w:cs="仿宋"/>
          <w:sz w:val="32"/>
          <w:szCs w:val="32"/>
          <w:lang w:eastAsia="zh-CN"/>
        </w:rPr>
        <w:t>机关日常</w:t>
      </w:r>
      <w:r>
        <w:rPr>
          <w:rFonts w:hint="eastAsia" w:ascii="仿宋" w:hAnsi="仿宋" w:eastAsia="仿宋" w:cs="仿宋"/>
          <w:sz w:val="32"/>
          <w:szCs w:val="32"/>
        </w:rPr>
        <w:t>行政</w:t>
      </w:r>
      <w:r>
        <w:rPr>
          <w:rFonts w:hint="eastAsia" w:ascii="仿宋" w:hAnsi="仿宋" w:eastAsia="仿宋" w:cs="仿宋"/>
          <w:sz w:val="32"/>
          <w:szCs w:val="32"/>
          <w:lang w:eastAsia="zh-CN"/>
        </w:rPr>
        <w:t>事务</w:t>
      </w:r>
      <w:r>
        <w:rPr>
          <w:rFonts w:hint="eastAsia" w:ascii="仿宋" w:hAnsi="仿宋" w:eastAsia="仿宋" w:cs="仿宋"/>
          <w:sz w:val="32"/>
          <w:szCs w:val="32"/>
        </w:rPr>
        <w:t>正常运转。</w:t>
      </w:r>
    </w:p>
    <w:p>
      <w:pPr>
        <w:numPr>
          <w:ilvl w:val="0"/>
          <w:numId w:val="2"/>
        </w:numPr>
        <w:tabs>
          <w:tab w:val="center" w:pos="4156"/>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ind w:firstLine="640"/>
        <w:jc w:val="left"/>
        <w:rPr>
          <w:rFonts w:ascii="黑体" w:hAnsi="黑体" w:eastAsia="黑体"/>
          <w:color w:val="000000"/>
          <w:sz w:val="32"/>
          <w:szCs w:val="32"/>
        </w:rPr>
      </w:pPr>
      <w:r>
        <w:rPr>
          <w:rFonts w:hint="eastAsia" w:ascii="黑体" w:hAnsi="黑体" w:eastAsia="黑体"/>
          <w:color w:val="000000"/>
          <w:sz w:val="32"/>
          <w:szCs w:val="32"/>
        </w:rPr>
        <w:t>财政拨款“三公”经费预算情况及增减变化原因</w:t>
      </w:r>
    </w:p>
    <w:p>
      <w:pPr>
        <w:ind w:firstLine="640" w:firstLineChars="200"/>
        <w:rPr>
          <w:rFonts w:ascii="仿宋" w:hAnsi="仿宋" w:eastAsia="仿宋" w:cs="仿宋"/>
          <w:sz w:val="32"/>
          <w:szCs w:val="32"/>
        </w:rPr>
      </w:pPr>
      <w:r>
        <w:rPr>
          <w:rFonts w:hint="eastAsia" w:ascii="仿宋" w:hAnsi="仿宋" w:eastAsia="仿宋" w:cs="仿宋"/>
          <w:sz w:val="32"/>
          <w:szCs w:val="32"/>
        </w:rPr>
        <w:t>“三公”经费预算安排3万元，其中因公出国（境）费</w:t>
      </w:r>
      <w:r>
        <w:rPr>
          <w:rFonts w:ascii="仿宋" w:hAnsi="仿宋" w:eastAsia="仿宋" w:cs="仿宋"/>
          <w:sz w:val="32"/>
          <w:szCs w:val="32"/>
        </w:rPr>
        <w:t>0</w:t>
      </w:r>
      <w:r>
        <w:rPr>
          <w:rFonts w:hint="eastAsia" w:ascii="仿宋" w:hAnsi="仿宋" w:eastAsia="仿宋" w:cs="仿宋"/>
          <w:sz w:val="32"/>
          <w:szCs w:val="32"/>
        </w:rPr>
        <w:t>万元、公务用车购置及运行费2万元、公务招待费1万元。</w:t>
      </w:r>
    </w:p>
    <w:p>
      <w:pPr>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因公出国（境）费</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年预算数</w:t>
      </w:r>
      <w:r>
        <w:rPr>
          <w:rFonts w:ascii="仿宋" w:hAnsi="仿宋" w:eastAsia="仿宋" w:cs="仿宋"/>
          <w:sz w:val="32"/>
          <w:szCs w:val="32"/>
        </w:rPr>
        <w:t>0</w:t>
      </w:r>
      <w:r>
        <w:rPr>
          <w:rFonts w:hint="eastAsia" w:ascii="仿宋" w:hAnsi="仿宋" w:eastAsia="仿宋" w:cs="仿宋"/>
          <w:sz w:val="32"/>
          <w:szCs w:val="32"/>
        </w:rPr>
        <w:t>万元，较</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年无变化。原因是</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年我单位没有因公出国工作计划。</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、截止</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年底一般公务用车1辆，公务用车购置费</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年预算数</w:t>
      </w:r>
      <w:r>
        <w:rPr>
          <w:rFonts w:ascii="仿宋" w:hAnsi="仿宋" w:eastAsia="仿宋" w:cs="仿宋"/>
          <w:sz w:val="32"/>
          <w:szCs w:val="32"/>
        </w:rPr>
        <w:t>0</w:t>
      </w:r>
      <w:r>
        <w:rPr>
          <w:rFonts w:hint="eastAsia" w:ascii="仿宋" w:hAnsi="仿宋" w:eastAsia="仿宋" w:cs="仿宋"/>
          <w:sz w:val="32"/>
          <w:szCs w:val="32"/>
        </w:rPr>
        <w:t>万元。原因是</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年我单位没有购车计划。公务用车运行维护费</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年预算数2万元，与上年持平，无增减变化</w:t>
      </w:r>
      <w:r>
        <w:rPr>
          <w:rFonts w:hint="eastAsia" w:ascii="仿宋" w:hAnsi="仿宋" w:eastAsia="仿宋" w:cs="仿宋"/>
          <w:sz w:val="32"/>
          <w:szCs w:val="32"/>
          <w:lang w:eastAsia="zh-CN"/>
        </w:rPr>
        <w:t>，原因是较好执行了行政事业单位公车改革有关规定，确保了公务用车预算的有效利用</w:t>
      </w:r>
      <w:r>
        <w:rPr>
          <w:rFonts w:hint="eastAsia" w:ascii="仿宋" w:hAnsi="仿宋" w:eastAsia="仿宋" w:cs="仿宋"/>
          <w:sz w:val="32"/>
          <w:szCs w:val="32"/>
        </w:rPr>
        <w:t>。</w:t>
      </w:r>
    </w:p>
    <w:p>
      <w:pPr>
        <w:autoSpaceDE w:val="0"/>
        <w:autoSpaceDN w:val="0"/>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、公务接待费</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年预算1万元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2018年度持平</w:t>
      </w:r>
      <w:r>
        <w:rPr>
          <w:rFonts w:hint="eastAsia" w:ascii="仿宋" w:hAnsi="仿宋" w:eastAsia="仿宋" w:cs="仿宋"/>
          <w:sz w:val="32"/>
          <w:szCs w:val="32"/>
        </w:rPr>
        <w:t>。原因是</w:t>
      </w:r>
      <w:r>
        <w:rPr>
          <w:rFonts w:hint="eastAsia" w:ascii="仿宋" w:hAnsi="仿宋" w:eastAsia="仿宋" w:cs="仿宋"/>
          <w:sz w:val="32"/>
          <w:szCs w:val="32"/>
          <w:lang w:eastAsia="zh-CN"/>
        </w:rPr>
        <w:t>公务接待预算原始数据较少，并且</w:t>
      </w:r>
      <w:r>
        <w:rPr>
          <w:rFonts w:hint="eastAsia" w:ascii="仿宋" w:hAnsi="仿宋" w:eastAsia="仿宋" w:cs="仿宋"/>
          <w:sz w:val="32"/>
          <w:szCs w:val="32"/>
        </w:rPr>
        <w:t>随着党风廉政建设责任制度推进，逐步减少公务接待次数及人数，合理配置公共资源，</w:t>
      </w:r>
      <w:r>
        <w:rPr>
          <w:rFonts w:hint="eastAsia" w:ascii="仿宋" w:hAnsi="仿宋" w:eastAsia="仿宋" w:cs="仿宋"/>
          <w:sz w:val="32"/>
          <w:szCs w:val="32"/>
          <w:lang w:eastAsia="zh-CN"/>
        </w:rPr>
        <w:t>有效确保了公务接待费用不增加</w:t>
      </w:r>
      <w:r>
        <w:rPr>
          <w:rFonts w:hint="eastAsia" w:ascii="仿宋" w:hAnsi="仿宋" w:eastAsia="仿宋" w:cs="仿宋"/>
          <w:sz w:val="32"/>
          <w:szCs w:val="32"/>
        </w:rPr>
        <w:t>。</w:t>
      </w:r>
    </w:p>
    <w:p>
      <w:pPr>
        <w:autoSpaceDE w:val="0"/>
        <w:autoSpaceDN w:val="0"/>
        <w:ind w:firstLine="640"/>
        <w:rPr>
          <w:rFonts w:ascii="黑体" w:hAnsi="黑体" w:eastAsia="黑体"/>
          <w:color w:val="000000"/>
          <w:sz w:val="32"/>
          <w:szCs w:val="32"/>
        </w:rPr>
      </w:pPr>
      <w:r>
        <w:rPr>
          <w:rFonts w:hint="eastAsia" w:ascii="黑体" w:hAnsi="黑体" w:eastAsia="黑体"/>
          <w:color w:val="000000"/>
          <w:sz w:val="32"/>
          <w:szCs w:val="32"/>
        </w:rPr>
        <w:t>五、绩效预算信息</w:t>
      </w:r>
    </w:p>
    <w:p>
      <w:pPr>
        <w:autoSpaceDE w:val="0"/>
        <w:autoSpaceDN w:val="0"/>
        <w:adjustRightInd w:val="0"/>
        <w:ind w:firstLine="643" w:firstLineChars="200"/>
        <w:jc w:val="left"/>
        <w:rPr>
          <w:rFonts w:ascii="Times New Roman" w:hAnsi="Times New Roman" w:eastAsia="仿宋"/>
          <w:b/>
          <w:sz w:val="32"/>
          <w:szCs w:val="32"/>
        </w:rPr>
      </w:pPr>
      <w:r>
        <w:rPr>
          <w:rFonts w:ascii="Times New Roman" w:hAnsi="Times New Roman" w:eastAsia="仿宋"/>
          <w:b/>
          <w:sz w:val="32"/>
          <w:szCs w:val="32"/>
        </w:rPr>
        <w:t>总体绩效目标：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2019年全县宣传思想文化战线将坚持以习近平新时代中国特色社会主义思想为指导，深入贯彻落实全国、全省宣传思想工作会议精神，自觉承担起举旗帜、聚民心、育新人、兴文化、展形象的使命任务，坚持以凝心聚力、团结鼓劲为追求，继续坚持“三抓三创”工作要求和“三比照”“四个干”抓落实机制，推动全县宣传思想文化工作再上新台阶,向中华人民共和国成立70周年献礼。</w:t>
      </w:r>
    </w:p>
    <w:p>
      <w:pPr>
        <w:spacing w:line="572" w:lineRule="exact"/>
        <w:ind w:firstLine="56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理论武装建设着力提升理论研究水平，增强广大干部群众理论自信、道路自信、制度自信，不断巩固全县人民团结奋斗的共同思想基础</w:t>
      </w:r>
      <w:r>
        <w:rPr>
          <w:rFonts w:hint="eastAsia" w:ascii="仿宋" w:hAnsi="仿宋" w:eastAsia="仿宋" w:cs="仿宋"/>
          <w:sz w:val="32"/>
          <w:szCs w:val="32"/>
          <w:lang w:eastAsia="zh-CN"/>
        </w:rPr>
        <w:t>，</w:t>
      </w:r>
      <w:r>
        <w:rPr>
          <w:rFonts w:hint="eastAsia" w:ascii="仿宋" w:hAnsi="仿宋" w:eastAsia="仿宋" w:cs="仿宋"/>
          <w:sz w:val="32"/>
          <w:szCs w:val="32"/>
        </w:rPr>
        <w:t>为全县经济社会发展提供理论支持。</w:t>
      </w:r>
    </w:p>
    <w:p>
      <w:pPr>
        <w:spacing w:line="572" w:lineRule="exact"/>
        <w:ind w:firstLine="56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文化文艺工作，进一步解放和发展文化生产力，推动全县文化事业和文化产业健康发展。组织艺术家深入生活，打造一批体现时代精神，具有中国特色和河北特色的艺术精品。</w:t>
      </w:r>
    </w:p>
    <w:p>
      <w:pPr>
        <w:spacing w:line="572" w:lineRule="exact"/>
        <w:ind w:firstLine="56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对上对外新闻宣传，充分利用报刊、网络、电台电视台及微信微博等，展示临西招商引资、社会建设等方面的良好形象，不断提高我县知名度、美誉度。</w:t>
      </w:r>
    </w:p>
    <w:p>
      <w:pPr>
        <w:spacing w:line="572" w:lineRule="exact"/>
        <w:ind w:firstLine="56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精神文明创建工作，力促全县城乡文明程度显著提升，和谐向善的社会风气逐步形成。</w:t>
      </w:r>
    </w:p>
    <w:p>
      <w:pPr>
        <w:spacing w:line="572" w:lineRule="exact"/>
        <w:ind w:firstLine="560"/>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宣教活动</w:t>
      </w:r>
      <w:r>
        <w:rPr>
          <w:rFonts w:hint="eastAsia" w:ascii="仿宋" w:hAnsi="仿宋" w:eastAsia="仿宋" w:cs="仿宋"/>
          <w:sz w:val="32"/>
          <w:szCs w:val="32"/>
        </w:rPr>
        <w:t>，坚持顶层设计，扎实开展好“弘扬玉兰精神，争当创业模范”活动，挖掘选树一批创业典型人物，隆重表彰推介其先进事迹，激发全社会关心支持创业的热情，营造人人支持创业、人人参与创业的舆论环境和良好氛围，使玉兰这个老典型发挥新活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6、网络舆情工作，着力打造风清气正的网络舆情空间。</w:t>
      </w:r>
    </w:p>
    <w:p>
      <w:pPr>
        <w:autoSpaceDE w:val="0"/>
        <w:autoSpaceDN w:val="0"/>
        <w:adjustRightInd w:val="0"/>
        <w:ind w:firstLine="643" w:firstLineChars="200"/>
        <w:jc w:val="left"/>
        <w:rPr>
          <w:rFonts w:ascii="Times New Roman" w:hAnsi="Times New Roman" w:eastAsia="仿宋"/>
          <w:b/>
          <w:sz w:val="32"/>
          <w:szCs w:val="32"/>
        </w:rPr>
      </w:pPr>
      <w:r>
        <w:rPr>
          <w:rFonts w:hint="eastAsia" w:ascii="Times New Roman" w:hAnsi="Times New Roman" w:eastAsia="仿宋"/>
          <w:b/>
          <w:sz w:val="32"/>
          <w:szCs w:val="32"/>
        </w:rPr>
        <w:t>职责分类绩效目标：</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理论武装方面。紧紧围绕学习习近平新时代中国特色社会主义思想和党的十九大精神这一主线，抓住领导干部这一“关键少数”，抓好各级党委（党组）中心组学习，精准开展习近平新时代中国特色社会主义思想进企业、进农村、进机关、进社区、进网络，全方位、多层次宣传阐释习近平新时代中国特色社会主义思想。</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意识形态工作方面。推进县委《关于进一步加强和改进意识形态工作的实施意见》贯彻落实，进一步健全完善任务分解、分析研判、常态监督、应急管控、考核评价、纪律约束等制度机制，加强对新闻出版、广播影视、文化市场、讲座论坛、报告会研究会、文化节庆活动、纪念设施、旅游景点、公益广告等各类阵地的管控，绝不给错误思想言论提供传播渠道。</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3、县内外宣传方面。牢牢把握正确舆论导向，</w:t>
      </w:r>
      <w:r>
        <w:rPr>
          <w:rFonts w:hint="eastAsia" w:ascii="仿宋_GB2312" w:hAnsi="仿宋_GB2312" w:eastAsia="仿宋_GB2312" w:cs="仿宋_GB2312"/>
          <w:sz w:val="32"/>
          <w:szCs w:val="32"/>
          <w:lang w:val="en-US" w:eastAsia="zh-CN"/>
        </w:rPr>
        <w:t>紧紧围绕中央和省、市、县委重大决策部署，统筹各级各类媒体开展庆祝新中国成立70周年、项目建设、脱贫攻坚等系列主题宣传活动，营造凝心聚力抓发展的主流舆论。突出典型宣传，创新宣传形式和手段，加大对各类先进典型的宣传报道力度。积极稳妥地做好热点难点问题舆论引导，汇聚发展正能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精神文明创建方面。以城带乡常态化开展“美我家乡·文明邢襄”主题创建活动，充实调整县创城办干部队伍，继续实施创城常态化督导措施，浓厚创城氛围，壮大创建声势，争取进入省级文明城市行列。完善文明单位动态管理系统，探索实行文明单位考评警告退出机制，推进文明乡风建设，打造“1433”志愿服务品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sz w:val="32"/>
          <w:szCs w:val="32"/>
          <w:lang w:val="en-US" w:eastAsia="zh-CN"/>
        </w:rPr>
        <w:t>文化文艺方面。深化“</w:t>
      </w:r>
      <w:r>
        <w:rPr>
          <w:rFonts w:hint="eastAsia" w:ascii="仿宋_GB2312" w:hAnsi="仿宋_GB2312" w:eastAsia="仿宋_GB2312" w:cs="仿宋_GB2312"/>
          <w:sz w:val="32"/>
          <w:szCs w:val="32"/>
        </w:rPr>
        <w:t>全民阅读·书香临西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val="en-US" w:eastAsia="zh-CN"/>
        </w:rPr>
        <w:t>，依托全县已成立的读书会，广泛建立全民阅读活动基地。提升公共文化服务效能，完善公共文化基础设施，</w:t>
      </w:r>
      <w:r>
        <w:rPr>
          <w:rFonts w:hint="eastAsia" w:ascii="仿宋_GB2312" w:hAnsi="仿宋_GB2312" w:eastAsia="仿宋_GB2312" w:cs="仿宋_GB2312"/>
          <w:sz w:val="32"/>
          <w:szCs w:val="32"/>
        </w:rPr>
        <w:t>举办庆祝改革开放40周年书画展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建国70周年</w:t>
      </w:r>
      <w:r>
        <w:rPr>
          <w:rFonts w:hint="eastAsia" w:ascii="仿宋_GB2312" w:hAnsi="仿宋_GB2312" w:eastAsia="仿宋_GB2312" w:cs="仿宋_GB2312"/>
          <w:sz w:val="32"/>
          <w:szCs w:val="32"/>
          <w:lang w:val="en-US" w:eastAsia="zh-CN"/>
        </w:rPr>
        <w:t>系列</w:t>
      </w:r>
      <w:r>
        <w:rPr>
          <w:rFonts w:hint="eastAsia" w:ascii="仿宋_GB2312" w:hAnsi="仿宋_GB2312" w:eastAsia="仿宋_GB2312" w:cs="仿宋_GB2312"/>
          <w:sz w:val="32"/>
          <w:szCs w:val="32"/>
        </w:rPr>
        <w:t>庆祝活动。</w:t>
      </w:r>
      <w:r>
        <w:rPr>
          <w:rFonts w:hint="eastAsia" w:ascii="仿宋_GB2312" w:hAnsi="仿宋_GB2312" w:eastAsia="仿宋_GB2312" w:cs="仿宋_GB2312"/>
          <w:sz w:val="32"/>
          <w:szCs w:val="32"/>
          <w:lang w:val="en-US" w:eastAsia="zh-CN"/>
        </w:rPr>
        <w:t>积极协调有关部门落实文化产业发展优惠政策，引导文化企业在帮助困难群众中发展壮大。</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网络舆情方面。继续打造网络民生服务队，提高网民诉求的回复率。用好政务公开平台，依托县新闻网站和“两端一微”，完善新闻发布平台、重大政策解读平台和便民服务平台的设置和功能，筑牢网络安全屏障，提升网络引导水平。</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7、宣教方面。</w:t>
      </w:r>
      <w:r>
        <w:rPr>
          <w:rFonts w:hint="eastAsia" w:ascii="仿宋_GB2312" w:hAnsi="仿宋_GB2312" w:eastAsia="仿宋_GB2312" w:cs="仿宋_GB2312"/>
          <w:sz w:val="32"/>
          <w:szCs w:val="32"/>
          <w:lang w:val="en-US" w:eastAsia="zh-CN"/>
        </w:rPr>
        <w:t>实施时代新人培育工程，完善典型发掘、选树、宣传机制，统筹做好“感动临西人物”“玉兰式好党员好干部”以及“临西好人”等各种典型评选活动，特别是围绕脱贫攻坚、高质量发展等县委县政府中心工作，推出一批立得住、传得开、叫得响、对全局工作有推动促进作用的重大典型。探索推进“新时代文明实践中心”建设，构建县、乡、村三级文明实践体系</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8、文化人才建设方面。</w:t>
      </w:r>
      <w:r>
        <w:rPr>
          <w:rFonts w:hint="eastAsia" w:ascii="仿宋_GB2312" w:hAnsi="仿宋_GB2312" w:eastAsia="仿宋_GB2312" w:cs="仿宋_GB2312"/>
          <w:sz w:val="32"/>
          <w:szCs w:val="32"/>
          <w:lang w:val="en-US" w:eastAsia="zh-CN"/>
        </w:rPr>
        <w:t>建强宣传思想文化干部队伍，抓好机构相关改革相关工作，扶持培树文化人才，推出一批文化名人、知名文化企业家。选好建强各级宣传部门领导班子和干部队伍，全力推动我县宣传思想文化工作强起来。</w:t>
      </w:r>
    </w:p>
    <w:p>
      <w:pPr>
        <w:keepNext w:val="0"/>
        <w:keepLines w:val="0"/>
        <w:widowControl w:val="0"/>
        <w:suppressLineNumbers w:val="0"/>
        <w:spacing w:before="0" w:beforeAutospacing="0" w:after="0" w:afterAutospacing="0"/>
        <w:ind w:left="0" w:right="0" w:firstLine="640"/>
        <w:jc w:val="left"/>
        <w:outlineLvl w:val="0"/>
        <w:rPr>
          <w:rStyle w:val="10"/>
          <w:rFonts w:hint="default" w:ascii="方正小标宋_GBK" w:hAnsi="Times New Roman" w:eastAsia="方正小标宋_GBK" w:cs="Symbol"/>
          <w:color w:val="FFFFFF"/>
          <w:sz w:val="32"/>
          <w:szCs w:val="24"/>
          <w:lang w:val="en-US"/>
        </w:rPr>
      </w:pPr>
      <w:bookmarkStart w:id="0" w:name="_Toc1564822"/>
      <w:r>
        <w:rPr>
          <w:rFonts w:hint="eastAsia" w:ascii="方正小标宋_GBK" w:hAnsi="方正小标宋_GBK" w:eastAsia="方正小标宋_GBK" w:cs="方正小标宋_GBK"/>
          <w:b/>
          <w:bCs/>
          <w:kern w:val="2"/>
          <w:sz w:val="32"/>
          <w:szCs w:val="24"/>
          <w:lang w:val="en-US" w:eastAsia="zh-CN" w:bidi="ar"/>
        </w:rPr>
        <w:t>部门职责-工作活动绩效目标</w:t>
      </w:r>
      <w:r>
        <w:rPr>
          <w:rStyle w:val="10"/>
          <w:rFonts w:hint="default" w:ascii="方正小标宋_GBK" w:hAnsi="Times New Roman" w:eastAsia="方正小标宋_GBK" w:cs="Symbol"/>
          <w:color w:val="FFFFFF"/>
          <w:sz w:val="32"/>
          <w:szCs w:val="24"/>
          <w:lang w:val="en-US"/>
        </w:rPr>
        <w:footnoteReference w:id="0" w:customMarkFollows="1"/>
        <w:sym w:font="Symbol" w:char="0020"/>
      </w:r>
      <w:bookmarkEnd w:id="0"/>
    </w:p>
    <w:p>
      <w:pPr>
        <w:keepNext w:val="0"/>
        <w:keepLines w:val="0"/>
        <w:widowControl w:val="0"/>
        <w:suppressLineNumbers w:val="0"/>
        <w:spacing w:before="0" w:beforeAutospacing="0" w:after="0" w:afterAutospacing="0"/>
        <w:ind w:left="0" w:right="0" w:firstLine="640"/>
        <w:jc w:val="left"/>
        <w:outlineLvl w:val="0"/>
        <w:rPr>
          <w:rStyle w:val="10"/>
          <w:rFonts w:hint="eastAsia" w:ascii="方正小标宋_GBK" w:hAnsi="Times New Roman" w:eastAsia="方正小标宋_GBK" w:cs="Symbol"/>
          <w:color w:val="FFFFFF"/>
          <w:sz w:val="32"/>
          <w:szCs w:val="24"/>
          <w:lang w:val="en-US"/>
        </w:rPr>
      </w:pPr>
    </w:p>
    <w:tbl>
      <w:tblPr>
        <w:tblStyle w:val="11"/>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小标宋_GBK" w:hAnsi="方正小标宋_GBK" w:eastAsia="方正小标宋_GBK" w:cs="方正小标宋_GBK"/>
                <w:sz w:val="24"/>
                <w:szCs w:val="24"/>
                <w:lang w:val="en-US"/>
              </w:rPr>
            </w:pPr>
            <w:r>
              <w:rPr>
                <w:rFonts w:hint="eastAsia" w:ascii="方正小标宋_GBK" w:hAnsi="方正小标宋_GBK" w:eastAsia="方正小标宋_GBK" w:cs="方正小标宋_GBK"/>
                <w:kern w:val="2"/>
                <w:sz w:val="24"/>
                <w:szCs w:val="24"/>
                <w:lang w:val="en-US" w:eastAsia="zh-CN" w:bidi="ar"/>
              </w:rPr>
              <w:t>203中国共产党临西县委员会宣传部</w:t>
            </w:r>
          </w:p>
        </w:tc>
        <w:tc>
          <w:tcPr>
            <w:tcW w:w="2948" w:type="dxa"/>
            <w:gridSpan w:val="4"/>
            <w:tcBorders>
              <w:top w:val="single" w:color="FFFFFF" w:sz="6" w:space="0"/>
              <w:left w:val="single" w:color="FFFFFF" w:sz="6" w:space="0"/>
              <w:bottom w:val="single" w:color="000000"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hint="eastAsia" w:ascii="方正书宋_GBK" w:hAnsi="方正书宋_GBK" w:eastAsia="方正书宋_GBK" w:cs="方正书宋_GBK"/>
                <w:sz w:val="24"/>
                <w:szCs w:val="24"/>
                <w:lang w:val="en-US"/>
              </w:rPr>
            </w:pPr>
            <w:r>
              <w:rPr>
                <w:rFonts w:hint="eastAsia" w:ascii="方正书宋_GBK" w:hAnsi="方正书宋_GBK" w:eastAsia="方正书宋_GBK" w:cs="方正书宋_GBK"/>
                <w:kern w:val="2"/>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职责活动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年度预算数</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内容描述</w:t>
            </w:r>
          </w:p>
        </w:tc>
        <w:tc>
          <w:tcPr>
            <w:tcW w:w="29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绩效目标</w:t>
            </w:r>
          </w:p>
        </w:tc>
        <w:tc>
          <w:tcPr>
            <w:tcW w:w="14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绩效指标</w:t>
            </w:r>
          </w:p>
        </w:tc>
        <w:tc>
          <w:tcPr>
            <w:tcW w:w="2948"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9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4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优</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良</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中</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一、理论武装建设</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3.00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1、深入实施马克思主义理论研究和建设工程，深化中国特色社会主义和中国梦研究；深入学习宣传习近平总书记系列重要讲话；广泛开展理论宣传活动。</w:t>
            </w:r>
          </w:p>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 xml:space="preserve">  2、部署思想政治工作任务，践行社会主义核心价值观，宣传推广先进典型，加强爱国主义教育基地建设和全民国防教育，加强基层党员教育，组织开展系列宣传教育活动。</w:t>
            </w:r>
          </w:p>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 xml:space="preserve">  3、组织县委理论中心组学习，及理论成果刊发。</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1、提升理论研究水平，为全县经济社会发展提供理论支持；提高干部群众运用科学理论解决实际问题能力；增强广大干部群众理论自信、道路自信、制度自信，不断巩固全县人民团结奋斗的共同思想基础。</w:t>
            </w:r>
          </w:p>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 xml:space="preserve">  2、完成中央、省市重大决策部署精神的学习宣传；完成思想政治工作重大任务，推进社会主义核心价值观落地生根。</w:t>
            </w:r>
          </w:p>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 xml:space="preserve">   3、完成好县委理论中心组及全县党员干部年度理论学习工作。</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　　1、理论武装建设</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3.00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每年组织县委中心组理论学习不少于12次；理论研究课题成果数量不少于11篇；邀请省级以上理论专家举办理论讲座2期；编印全县理论学习材料12期，并做好中央省市重要理论成果材料书目的订阅；社会主义核心价值观内容在全社会普及率100%；爱国主义教育基地参观学习人数在1.5万人以上；组织开展主题宣传教育活动2次，并做好基层党员干部的理论宣讲和培训。</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年度组织县委中心组理论学习不少于12次；理论研究课题成果数量不少于11篇；邀请省级以上理论专家举办理论讲座2期；编印全县理论学习材料12期，并做好中央省市重要理论成果材料书目的订阅；组织开展主题宣传教育活动2次，并做好基层党员干部的理论宣讲和培训。</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每年组织县委中心组理论学习不少于12次；理论研究课题成果数量不少于11篇；邀请省级以上理论专家举办理论讲座1期；编印全县理论学习材料12期，组织开展主题宣传教育活动,1次，并做好基层党员干部的理论宣讲和培训。</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&gt;12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&gt;9</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&gt;6</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二、对上对外宣传</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5.00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制定全县宣传报道计划，拟定阶段新闻报道要点；协调和指导全县新闻单位的日常新闻宣传工作；参与组织协调县内重大工作或活动的宣传报道；负责县内重大典型的宣传推出，协调指导新闻专题片的制作、宣传；抓好全县新闻队伍建设、通讯员业务培训；负责联系上级新闻单位记者来临采访接待工作；做好重点党报党刊的征订工作。</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充分利用报刊、网络、电台电视台及微信微博等，展示临西招商引资、社会建设等方面的良好形象，不断提高我县知名度、美誉度。</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　　1、对上对外宣传</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5.00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每年组织举办县内外文化交流活动不少于2（次）；邀请中央省市主流媒体来临举办大型联合采访活动不少于2次，举办全县新闻宣传培训班不少于2期；组织拍摄、编印全县宣传专题片、图册、综合宣传册等；重点做好县直各单位、各乡镇年度党报党刊的征订任务。</w:t>
            </w:r>
          </w:p>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 xml:space="preserve">  通过制定全县宣传报道计划，拟定阶段新闻报道要点；协调和指导全县新闻单位的日常新闻宣传工作；参与组织协调县内重大工作或活动的宣传报道；负责县内重大典型的宣传推出，协调指导新闻专题片的制作、宣传；抓好全县新闻队伍建设、通讯员业务培训；负责联系上级新闻单位记者来临采访接</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市级以上新闻媒体发稿量不少于380篇，完成重点党报党刊的征订工作。</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市级以上新闻媒体发稿量不少于380篇，完成重点党报党刊的征订工作。</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&gt;380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&gt;342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&gt;228</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&lt;228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三、舆情信息管理与维护</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10.00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指导协调新闻舆论工作，组织系列主题新闻宣传，开展新闻业务调研评议；抓好新闻管理制度和措施落实；围绕社会热点敏感问题、突发事件，正确引导社会心态；组织开展舆情信息收集、分析、研判。</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1、完善互联网管理领导体制，加强网上舆论引导，营造良好网络舆论氛围，发展健康向上网络文化。</w:t>
            </w:r>
          </w:p>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 xml:space="preserve">  2、牢牢把握正确导向，为全县经济社会发展提供有力的舆论支持；提升新闻工作者的政治意识、责任意识和职业素养；提高舆情研判能力和信息服务水平，及时化解、妥善处理有关负面舆情。</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　　1、舆情信息管理与维护</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10.00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通过舆情直报点收集全县社会舆情，进行筛选、分析，并向县委和中宣部报送舆情信息，供领导决策参考。组织全县有关单位报送新闻稿件，协调市及以上媒体播发宣传我县的稿件数量。完善互联网重大突发事件应急处置工作，重点做好突发事件新闻处置工作，正确引导舆论导向，妥善处理负面新闻影响。同时加强对全县重点网站及其他涉冀新闻网站进行监测，强化负面舆情正确引导。定期组织开展网络宣传活动，净化互联网舆论环境，发展健康向上的网络文化。</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实行24小时全天候舆情监测，做到重大舆情事件零发生。</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做到重大舆情事件零发生。</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&lt;0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&lt;1</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&lt;2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四、文化文艺工作</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12.00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深化文化体制改革，构建现代公共文化服务体系；加强精神文化产品创作生产。</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进一步解放和发展文化生产力，推动全县文化事业和文化产业健康发展。</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　　1、文化文艺工作</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12.00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组织实施深化文化体制改革实施方案；建立健全现代文化市场体系。</w:t>
            </w:r>
          </w:p>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 xml:space="preserve">   管理县级各类文化发展专项资金和基金，支持重点文化项目建设，加强文化招商，推动文化事业产业健康发展。</w:t>
            </w:r>
          </w:p>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构建现代公共文化服务体系，加强精神文化产品创作生产，传承和保护优秀传统文化，推动文化艺术健康发展。</w:t>
            </w:r>
          </w:p>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 xml:space="preserve">   研究全县文化艺术发展的指导方针，构建现代公共文化服务体系，加强精神文化产品创作生产，传承和保护优秀传统文化，推动文化艺术健康发展。</w:t>
            </w:r>
          </w:p>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 xml:space="preserve">  统筹城乡文化发展，定期组织开展各类文化文艺活动，并做好</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三下乡</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工作，完成上级部门交办的文化、</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举办各类文化文艺活动6场次。</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举办各类文化文艺活动6场次。</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&gt;6</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&gt;5</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&gt;4</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五、精神文明创建</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17.00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部署全县精神文明创建工作，组织指导全县群众性精神文明创建活动。开展各类志愿服务和典型人物评选活动。</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全县城乡文明程度显著提升，和谐向善的社会风气逐步形成。</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　　1、精神文明创建</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17.00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加强精神文明建设，形成良好的社会风气，不断提高公民素质和文化生活质量水平；规划部署全县精神文明创建工作，积极开展各项主题活动；开展好</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临西好人</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玉兰式好党员好干部</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等评选活动，通过典型人物评选引领社会风尚；大力开展主题志愿服务活动，提升全县志愿服务活动水平；加强未成年人思想道德建设，深化文明单位、文明窗口、文明岗位评选内涵，切实使文明创建成为引领文明风尚的领头羊。</w:t>
            </w:r>
          </w:p>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 xml:space="preserve">  严格按照上级有关文件精神和创建指标，如期完成临西省级文明城市创建工作目标任务。</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开展集中志愿服务活动4次</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开展集中志愿服务活动4次</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&gt;4</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&gt;3</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六、玉兰精神宣传研究及推广</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深入挖掘玉兰精神实质和内涵，不断提升</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玉兰精神</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的外在影响力。</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坚持顶层设计，扎实开展好</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弘扬玉兰精神，争当创业模范</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活动，挖掘选树30名创业典型人物，隆重表彰推介其先进事迹，激发全社会关心支持创业的热情，营造人人支持创业、人人参与创业的舆论环境和良好氛围，使玉兰这个老典型发挥新活力。</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　　1、玉兰精神宣传研究及推广</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组织开展不少于3次的研究会集体活动，开展一次玉兰式党员标兵评选，通过实地考察学习、研究等活动，让研究会成员更加深入地挖掘玉兰精神，学习玉兰精神，弘扬玉兰精神，将研究成果编制成册，教育引导党员干部群众以</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玉兰精神</w:t>
            </w:r>
            <w:r>
              <w:rPr>
                <w:rFonts w:hint="default" w:ascii="方正书宋_GBK" w:hAnsi="Times New Roman" w:eastAsia="方正书宋_GBK" w:cs="Times New Roman"/>
                <w:kern w:val="2"/>
                <w:sz w:val="21"/>
                <w:szCs w:val="24"/>
                <w:lang w:val="en-US" w:eastAsia="zh-CN" w:bidi="ar"/>
              </w:rPr>
              <w:t>”</w:t>
            </w:r>
            <w:r>
              <w:rPr>
                <w:rFonts w:hint="eastAsia" w:ascii="方正书宋_GBK" w:hAnsi="方正书宋_GBK" w:eastAsia="方正书宋_GBK" w:cs="方正书宋_GBK"/>
                <w:kern w:val="2"/>
                <w:sz w:val="21"/>
                <w:szCs w:val="24"/>
                <w:lang w:val="en-US" w:eastAsia="zh-CN" w:bidi="ar"/>
              </w:rPr>
              <w:t>为标杆，为全县经济社会稳定发展献计出力。</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年度开展临西好人评选1次，并大力宣传推介,市级以上好人榜3人次。</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年度开展临西好人评选1次，并大力宣传推介。</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&gt;3</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&gt;1</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七、宣传事务管理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8.00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负责系统综合业务管理和机关综合事务管理。</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好部内外联系、综合协调行政工作；负责文书处理、会务、信访、档案、文印、财务、固定资产管理、保密及接待工作；保障好老干部服务、车辆管理和机关综合管理等工作；组织好各类慰问及调研活动安排；做好年度各项目标的督查落实工作。</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　　1、宣传事务管理</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8.00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好部内外联系、综合协调行政工作；负责文书处理、会务、信访、档案、文印、财务、固定资产管理、保密及接待工作；保障好老干部服务、车辆管理和机关综合管理等工作；组织好各类慰问及调研活动安排；做好年度各项目标的督查落实工作。</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完成各项目标任务，保障日常工作开展。</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完成各项目标任务，保障日常工作开展。</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完成90%及以上</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完成60%至90%上</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八、文艺联络</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组织召开全县文联系统的工作会议,听取和反映文艺界的情况和意见。</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组织召开协会会议，组织文艺研修，提高广大文艺工作者的政治和业务素质。</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　　1、文艺联络</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召开协会会议，加强会员管理，举办会员活动，维护活动场所，建设文艺人才资源库，组织文艺研修，提高广大文艺工作者的政治、业务素质。</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开展书画展、摄影展等活动不少于2次</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开展书画展、摄影展等活动不少于2次</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&gt;1</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九、文艺创作与推介</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宣传、动员、组织广大文艺工作者致力于繁荣发展燕赵艺术事业，组织艺术家深入生活，创作优秀作品。</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组织艺术家深入生活，打造一批体现时代精神，具有中国特色和河北特色的艺术精品。</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　　1、文艺创作与推介</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组织艺术家深入生活，打造出一批体现时代精神，具有特色的艺术精品。举办论坛、研讨、展示、展演、评奖活动，积极申报全国性文艺奖项，组织好县内评奖，推介名家名品，挖掘和保护文化遗产，弘扬优秀传统文化，推动文化强县建设。组织艺术家深入生活发挥独特优势，整合资源，积极参加国内、国际性文化交流活动，广泛开展对外、对内和民间文艺交流，提升提高河北文化的凝聚力和影响力。</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组织艺术家深入生活，打造出一批体现时代精神，具有特色的艺术精品。举办论坛、研讨、展示、展演、评奖活动，积极申报全国性文艺奖项，组织好县内评奖，推介名家名品，挖掘和保护文化遗产，弘扬优秀传统文化，推动文化强县建设。组织艺术家深入生活发挥独特优势，整合资源，积极参加国内、国际性文化交流活动，广泛开展对外、对内和民间文艺交流，提升提高河北文化的凝聚力和影响力。</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组织艺术家深入生活，打造出一批体现时代精神，具有特色的艺术精品。举办论坛、研讨、展示、展演、评奖活动，积极申报全国性文艺奖项，组织好县内评奖，推介名家名品，挖掘和保护文化遗产，弘扬优秀传统文化，推动文化强县建设。组织艺术家深入生活发挥独特优势，整合资源，积极参加国内、国际性文化交流活动，广泛开展对外、对内和民间文艺交流，提升提高河北文化的凝聚力和影响力。</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完成100%</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完成90%及以上</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完成60%至90%上</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十、县内宣传</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15.00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运用文字形式，宣传党和政府的路线、方针和政策，传达县委、县政府的决策部署。</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发挥党和政府的喉舌作用，为全县经济社会发展服务。</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b/>
                <w:bCs w:val="0"/>
                <w:lang w:val="en-US"/>
              </w:rPr>
            </w:pPr>
            <w:r>
              <w:rPr>
                <w:rFonts w:hint="eastAsia" w:ascii="方正书宋_GBK" w:hAnsi="方正书宋_GBK" w:eastAsia="方正书宋_GBK" w:cs="方正书宋_GBK"/>
                <w:b/>
                <w:bCs w:val="0"/>
                <w:kern w:val="2"/>
                <w:sz w:val="21"/>
                <w:szCs w:val="24"/>
                <w:lang w:val="en-US" w:eastAsia="zh-CN" w:bidi="ar"/>
              </w:rPr>
              <w:t>　　1、县内宣传</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15.00</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配合全县中心工作，搞好本县典型报道、动态消息、经验介绍等新闻报道、技术推广、法制教育等宣传服务工作，凝聚全县人民干事创业士气。</w:t>
            </w:r>
          </w:p>
        </w:tc>
        <w:tc>
          <w:tcPr>
            <w:tcW w:w="29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完成报纸刊发52期</w:t>
            </w:r>
          </w:p>
        </w:tc>
        <w:tc>
          <w:tcPr>
            <w:tcW w:w="14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完成全年报纸编发</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&gt;52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&gt;46</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&gt;32</w:t>
            </w:r>
          </w:p>
        </w:tc>
        <w:tc>
          <w:tcPr>
            <w:tcW w:w="7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方正书宋_GBK" w:hAnsi="方正书宋_GBK" w:eastAsia="方正书宋_GBK" w:cs="方正书宋_GBK"/>
                <w:lang w:val="en-US"/>
              </w:rPr>
            </w:pPr>
            <w:r>
              <w:rPr>
                <w:rFonts w:hint="eastAsia" w:ascii="方正书宋_GBK" w:hAnsi="方正书宋_GBK" w:eastAsia="方正书宋_GBK" w:cs="方正书宋_GBK"/>
                <w:kern w:val="2"/>
                <w:sz w:val="21"/>
                <w:szCs w:val="24"/>
                <w:lang w:val="en-US" w:eastAsia="zh-CN" w:bidi="ar"/>
              </w:rPr>
              <w:t>&lt;32</w:t>
            </w:r>
          </w:p>
        </w:tc>
      </w:tr>
    </w:tbl>
    <w:p>
      <w:pPr>
        <w:rPr>
          <w:rFonts w:hint="default" w:ascii="Times New Roman" w:hAnsi="Times New Roman" w:eastAsia="宋体" w:cs="Times New Roman"/>
          <w:kern w:val="2"/>
          <w:sz w:val="21"/>
          <w:szCs w:val="24"/>
          <w:lang w:val="en-US" w:eastAsia="zh-CN" w:bidi="ar"/>
        </w:rPr>
        <w:sectPr>
          <w:footerReference r:id="rId4" w:type="default"/>
          <w:pgSz w:w="16839" w:h="11915" w:orient="landscape"/>
          <w:pgMar w:top="1020" w:right="1361" w:bottom="1020" w:left="1361" w:header="851" w:footer="992" w:gutter="0"/>
          <w:pgNumType w:fmt="numberInDash"/>
          <w:cols w:space="720" w:num="1"/>
          <w:docGrid w:type="lines" w:linePitch="312" w:charSpace="0"/>
        </w:sectPr>
      </w:pPr>
    </w:p>
    <w:p>
      <w:pPr>
        <w:numPr>
          <w:ilvl w:val="0"/>
          <w:numId w:val="3"/>
        </w:numPr>
        <w:autoSpaceDE w:val="0"/>
        <w:autoSpaceDN w:val="0"/>
        <w:ind w:firstLine="640"/>
        <w:rPr>
          <w:rFonts w:ascii="黑体" w:hAnsi="黑体" w:eastAsia="黑体"/>
          <w:color w:val="000000"/>
          <w:sz w:val="32"/>
          <w:szCs w:val="32"/>
        </w:rPr>
      </w:pPr>
      <w:r>
        <w:rPr>
          <w:rFonts w:hint="eastAsia" w:ascii="黑体" w:hAnsi="黑体" w:eastAsia="黑体"/>
          <w:color w:val="000000"/>
          <w:sz w:val="32"/>
          <w:szCs w:val="32"/>
        </w:rPr>
        <w:t>政府采购预算情况</w:t>
      </w:r>
    </w:p>
    <w:p>
      <w:pPr>
        <w:autoSpaceDE w:val="0"/>
        <w:autoSpaceDN w:val="0"/>
        <w:ind w:firstLine="640" w:firstLineChars="200"/>
        <w:rPr>
          <w:rFonts w:ascii="黑体" w:hAnsi="黑体" w:eastAsia="黑体"/>
          <w:color w:val="000000"/>
          <w:sz w:val="32"/>
          <w:szCs w:val="32"/>
        </w:rPr>
      </w:pPr>
      <w:r>
        <w:rPr>
          <w:rFonts w:ascii="Times New Roman" w:hAnsi="Times New Roman" w:eastAsia="仿宋"/>
          <w:sz w:val="32"/>
          <w:szCs w:val="32"/>
        </w:rPr>
        <w:t>201</w:t>
      </w:r>
      <w:r>
        <w:rPr>
          <w:rFonts w:hint="eastAsia" w:ascii="Times New Roman" w:hAnsi="Times New Roman" w:eastAsia="仿宋"/>
          <w:sz w:val="32"/>
          <w:szCs w:val="32"/>
          <w:lang w:val="en-US" w:eastAsia="zh-CN"/>
        </w:rPr>
        <w:t>9</w:t>
      </w:r>
      <w:r>
        <w:rPr>
          <w:rFonts w:ascii="Times New Roman" w:hAnsi="Times New Roman" w:eastAsia="仿宋"/>
          <w:sz w:val="32"/>
          <w:szCs w:val="32"/>
        </w:rPr>
        <w:t>年，</w:t>
      </w:r>
      <w:r>
        <w:rPr>
          <w:rFonts w:hint="eastAsia" w:ascii="Times New Roman" w:hAnsi="Times New Roman" w:eastAsia="仿宋"/>
          <w:sz w:val="32"/>
          <w:szCs w:val="32"/>
        </w:rPr>
        <w:t>我部门</w:t>
      </w:r>
      <w:r>
        <w:rPr>
          <w:rFonts w:ascii="Times New Roman" w:hAnsi="Times New Roman" w:eastAsia="仿宋"/>
          <w:sz w:val="32"/>
          <w:szCs w:val="32"/>
        </w:rPr>
        <w:t>安排政府采购预算</w:t>
      </w:r>
      <w:r>
        <w:rPr>
          <w:rFonts w:hint="eastAsia" w:ascii="Times New Roman" w:hAnsi="Times New Roman" w:eastAsia="仿宋"/>
          <w:sz w:val="32"/>
          <w:szCs w:val="32"/>
          <w:lang w:val="en-US" w:eastAsia="zh-CN"/>
        </w:rPr>
        <w:t>0</w:t>
      </w:r>
      <w:r>
        <w:rPr>
          <w:rFonts w:ascii="Times New Roman" w:hAnsi="Times New Roman" w:eastAsia="仿宋"/>
          <w:sz w:val="32"/>
          <w:szCs w:val="32"/>
        </w:rPr>
        <w:t>万元。</w:t>
      </w:r>
    </w:p>
    <w:p>
      <w:pPr>
        <w:autoSpaceDE w:val="0"/>
        <w:autoSpaceDN w:val="0"/>
        <w:ind w:firstLine="640" w:firstLineChars="200"/>
        <w:rPr>
          <w:rFonts w:ascii="黑体" w:hAnsi="黑体" w:eastAsia="黑体"/>
          <w:color w:val="000000"/>
          <w:sz w:val="32"/>
          <w:szCs w:val="32"/>
        </w:rPr>
      </w:pPr>
      <w:r>
        <w:rPr>
          <w:rFonts w:hint="eastAsia" w:ascii="黑体" w:hAnsi="黑体" w:eastAsia="黑体"/>
          <w:color w:val="000000"/>
          <w:sz w:val="32"/>
          <w:szCs w:val="32"/>
        </w:rPr>
        <w:t>七、国有资产信息</w:t>
      </w:r>
    </w:p>
    <w:p>
      <w:pPr>
        <w:tabs>
          <w:tab w:val="left" w:pos="8595"/>
        </w:tabs>
        <w:spacing w:line="360" w:lineRule="auto"/>
        <w:ind w:firstLine="600"/>
        <w:rPr>
          <w:rFonts w:hint="eastAsia" w:ascii="仿宋" w:hAnsi="仿宋" w:eastAsia="仿宋" w:cs="仿宋"/>
          <w:color w:val="333333"/>
          <w:sz w:val="32"/>
          <w:szCs w:val="32"/>
        </w:rPr>
      </w:pPr>
      <w:r>
        <w:rPr>
          <w:rFonts w:hint="eastAsia" w:ascii="仿宋" w:hAnsi="仿宋" w:eastAsia="仿宋" w:cs="仿宋"/>
          <w:color w:val="333333"/>
          <w:sz w:val="32"/>
          <w:szCs w:val="32"/>
        </w:rPr>
        <w:t>截至</w:t>
      </w:r>
      <w:r>
        <w:rPr>
          <w:rFonts w:ascii="仿宋" w:hAnsi="仿宋" w:eastAsia="仿宋" w:cs="仿宋"/>
          <w:color w:val="333333"/>
          <w:sz w:val="32"/>
          <w:szCs w:val="32"/>
        </w:rPr>
        <w:t>201</w:t>
      </w:r>
      <w:r>
        <w:rPr>
          <w:rFonts w:hint="eastAsia" w:ascii="仿宋" w:hAnsi="仿宋" w:eastAsia="仿宋" w:cs="仿宋"/>
          <w:color w:val="333333"/>
          <w:sz w:val="32"/>
          <w:szCs w:val="32"/>
          <w:lang w:val="en-US" w:eastAsia="zh-CN"/>
        </w:rPr>
        <w:t>8</w:t>
      </w:r>
      <w:r>
        <w:rPr>
          <w:rFonts w:hint="eastAsia" w:ascii="仿宋" w:hAnsi="仿宋" w:eastAsia="仿宋" w:cs="仿宋"/>
          <w:color w:val="333333"/>
          <w:sz w:val="32"/>
          <w:szCs w:val="32"/>
        </w:rPr>
        <w:t>年</w:t>
      </w:r>
      <w:r>
        <w:rPr>
          <w:rFonts w:ascii="仿宋" w:hAnsi="仿宋" w:eastAsia="仿宋" w:cs="仿宋"/>
          <w:color w:val="333333"/>
          <w:sz w:val="32"/>
          <w:szCs w:val="32"/>
        </w:rPr>
        <w:t>12</w:t>
      </w:r>
      <w:r>
        <w:rPr>
          <w:rFonts w:hint="eastAsia" w:ascii="仿宋" w:hAnsi="仿宋" w:eastAsia="仿宋" w:cs="仿宋"/>
          <w:color w:val="333333"/>
          <w:sz w:val="32"/>
          <w:szCs w:val="32"/>
        </w:rPr>
        <w:t>月</w:t>
      </w:r>
      <w:r>
        <w:rPr>
          <w:rFonts w:ascii="仿宋" w:hAnsi="仿宋" w:eastAsia="仿宋" w:cs="仿宋"/>
          <w:color w:val="333333"/>
          <w:sz w:val="32"/>
          <w:szCs w:val="32"/>
        </w:rPr>
        <w:t>31</w:t>
      </w:r>
      <w:r>
        <w:rPr>
          <w:rFonts w:hint="eastAsia" w:ascii="仿宋" w:hAnsi="仿宋" w:eastAsia="仿宋" w:cs="仿宋"/>
          <w:color w:val="333333"/>
          <w:sz w:val="32"/>
          <w:szCs w:val="32"/>
        </w:rPr>
        <w:t>日，我部门国有固定资产总额为</w:t>
      </w:r>
      <w:r>
        <w:rPr>
          <w:rFonts w:hint="eastAsia" w:ascii="仿宋" w:hAnsi="仿宋" w:eastAsia="仿宋" w:cs="仿宋"/>
          <w:color w:val="333333"/>
          <w:sz w:val="32"/>
          <w:szCs w:val="32"/>
          <w:lang w:val="en-US" w:eastAsia="zh-CN"/>
        </w:rPr>
        <w:t>39.9849</w:t>
      </w:r>
      <w:r>
        <w:rPr>
          <w:rFonts w:hint="eastAsia" w:ascii="仿宋" w:hAnsi="仿宋" w:eastAsia="仿宋" w:cs="仿宋"/>
          <w:color w:val="333333"/>
          <w:sz w:val="32"/>
          <w:szCs w:val="32"/>
        </w:rPr>
        <w:t>万元。其中：</w:t>
      </w:r>
      <w:r>
        <w:rPr>
          <w:rFonts w:hint="eastAsia" w:ascii="仿宋" w:hAnsi="仿宋" w:eastAsia="仿宋" w:cs="仿宋"/>
          <w:color w:val="333333"/>
          <w:sz w:val="32"/>
          <w:szCs w:val="32"/>
          <w:lang w:eastAsia="zh-CN"/>
        </w:rPr>
        <w:t>车辆</w:t>
      </w:r>
      <w:r>
        <w:rPr>
          <w:rFonts w:hint="eastAsia" w:ascii="仿宋" w:hAnsi="仿宋" w:eastAsia="仿宋" w:cs="仿宋"/>
          <w:color w:val="333333"/>
          <w:sz w:val="32"/>
          <w:szCs w:val="32"/>
          <w:lang w:val="en-US" w:eastAsia="zh-CN"/>
        </w:rPr>
        <w:t>1辆16.5万元；其他固定资产23.4849</w:t>
      </w:r>
      <w:r>
        <w:rPr>
          <w:rFonts w:hint="eastAsia" w:ascii="仿宋" w:hAnsi="仿宋" w:eastAsia="仿宋" w:cs="仿宋"/>
          <w:color w:val="333333"/>
          <w:sz w:val="32"/>
          <w:szCs w:val="32"/>
        </w:rPr>
        <w:t>万元。</w:t>
      </w:r>
      <w:r>
        <w:rPr>
          <w:rFonts w:ascii="仿宋" w:hAnsi="仿宋" w:eastAsia="仿宋" w:cs="仿宋"/>
          <w:color w:val="333333"/>
          <w:sz w:val="32"/>
          <w:szCs w:val="32"/>
        </w:rPr>
        <w:t>201</w:t>
      </w:r>
      <w:r>
        <w:rPr>
          <w:rFonts w:hint="eastAsia" w:ascii="仿宋" w:hAnsi="仿宋" w:eastAsia="仿宋" w:cs="仿宋"/>
          <w:color w:val="333333"/>
          <w:sz w:val="32"/>
          <w:szCs w:val="32"/>
          <w:lang w:val="en-US" w:eastAsia="zh-CN"/>
        </w:rPr>
        <w:t>9</w:t>
      </w:r>
      <w:r>
        <w:rPr>
          <w:rFonts w:hint="eastAsia" w:ascii="仿宋" w:hAnsi="仿宋" w:eastAsia="仿宋" w:cs="仿宋"/>
          <w:color w:val="333333"/>
          <w:sz w:val="32"/>
          <w:szCs w:val="32"/>
        </w:rPr>
        <w:t>年无增加国有资产计划。</w:t>
      </w:r>
    </w:p>
    <w:tbl>
      <w:tblPr>
        <w:tblStyle w:val="11"/>
        <w:tblpPr w:leftFromText="180" w:rightFromText="180" w:vertAnchor="text" w:horzAnchor="page" w:tblpXSpec="center" w:tblpY="337"/>
        <w:tblOverlap w:val="never"/>
        <w:tblW w:w="13800" w:type="dxa"/>
        <w:jc w:val="center"/>
        <w:tblInd w:w="0" w:type="dxa"/>
        <w:tblLayout w:type="fixed"/>
        <w:tblCellMar>
          <w:top w:w="0" w:type="dxa"/>
          <w:left w:w="108" w:type="dxa"/>
          <w:bottom w:w="0" w:type="dxa"/>
          <w:right w:w="108" w:type="dxa"/>
        </w:tblCellMar>
      </w:tblPr>
      <w:tblGrid>
        <w:gridCol w:w="3634"/>
        <w:gridCol w:w="2722"/>
        <w:gridCol w:w="7444"/>
      </w:tblGrid>
      <w:tr>
        <w:tblPrEx>
          <w:tblLayout w:type="fixed"/>
          <w:tblCellMar>
            <w:top w:w="0" w:type="dxa"/>
            <w:left w:w="108" w:type="dxa"/>
            <w:bottom w:w="0" w:type="dxa"/>
            <w:right w:w="108" w:type="dxa"/>
          </w:tblCellMar>
        </w:tblPrEx>
        <w:trPr>
          <w:cantSplit/>
          <w:trHeight w:val="821" w:hRule="atLeast"/>
          <w:jc w:val="center"/>
        </w:trPr>
        <w:tc>
          <w:tcPr>
            <w:tcW w:w="13800"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32"/>
                <w:szCs w:val="32"/>
              </w:rPr>
            </w:pPr>
            <w:r>
              <w:rPr>
                <w:rFonts w:hint="eastAsia" w:ascii="宋体" w:hAnsi="宋体" w:cs="宋体"/>
                <w:b/>
                <w:bCs/>
                <w:kern w:val="0"/>
                <w:sz w:val="32"/>
                <w:szCs w:val="32"/>
              </w:rPr>
              <w:t>固定资产占用情况表</w:t>
            </w:r>
          </w:p>
        </w:tc>
      </w:tr>
      <w:tr>
        <w:tblPrEx>
          <w:tblLayout w:type="fixed"/>
          <w:tblCellMar>
            <w:top w:w="0" w:type="dxa"/>
            <w:left w:w="108" w:type="dxa"/>
            <w:bottom w:w="0" w:type="dxa"/>
            <w:right w:w="108" w:type="dxa"/>
          </w:tblCellMar>
        </w:tblPrEx>
        <w:trPr>
          <w:cantSplit/>
          <w:trHeight w:val="409" w:hRule="atLeast"/>
          <w:jc w:val="center"/>
        </w:trPr>
        <w:tc>
          <w:tcPr>
            <w:tcW w:w="6356" w:type="dxa"/>
            <w:gridSpan w:val="2"/>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2"/>
              </w:rPr>
            </w:pPr>
            <w:r>
              <w:rPr>
                <w:rFonts w:hint="default" w:ascii="Times New Roman" w:hAnsi="Times New Roman" w:eastAsia="仿宋" w:cs="Times New Roman"/>
                <w:kern w:val="0"/>
                <w:sz w:val="22"/>
              </w:rPr>
              <w:t>编制部门：</w:t>
            </w:r>
            <w:r>
              <w:rPr>
                <w:rFonts w:hint="eastAsia" w:ascii="Times New Roman" w:hAnsi="Times New Roman" w:eastAsia="仿宋" w:cs="Times New Roman"/>
                <w:kern w:val="0"/>
                <w:sz w:val="22"/>
                <w:lang w:eastAsia="zh-CN"/>
              </w:rPr>
              <w:t>中共临西县委宣传部</w:t>
            </w:r>
            <w:r>
              <w:rPr>
                <w:rFonts w:hint="eastAsia" w:ascii="Times New Roman" w:hAnsi="Times New Roman" w:eastAsia="仿宋" w:cs="Times New Roman"/>
                <w:kern w:val="0"/>
                <w:sz w:val="22"/>
                <w:lang w:val="en-US" w:eastAsia="zh-CN"/>
              </w:rPr>
              <w:t xml:space="preserve"> </w:t>
            </w:r>
          </w:p>
        </w:tc>
        <w:tc>
          <w:tcPr>
            <w:tcW w:w="7444"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firstLine="1320" w:firstLineChars="600"/>
              <w:jc w:val="left"/>
              <w:rPr>
                <w:rFonts w:hint="default" w:ascii="Times New Roman" w:hAnsi="Times New Roman" w:eastAsia="仿宋" w:cs="Times New Roman"/>
                <w:kern w:val="0"/>
                <w:sz w:val="22"/>
              </w:rPr>
            </w:pPr>
            <w:r>
              <w:rPr>
                <w:rFonts w:hint="default" w:ascii="Times New Roman" w:hAnsi="Times New Roman" w:eastAsia="仿宋" w:cs="Times New Roman"/>
                <w:kern w:val="0"/>
                <w:sz w:val="22"/>
              </w:rPr>
              <w:t>截止时间：20</w:t>
            </w:r>
            <w:r>
              <w:rPr>
                <w:rFonts w:hint="eastAsia" w:ascii="Times New Roman" w:hAnsi="Times New Roman" w:eastAsia="仿宋" w:cs="Times New Roman"/>
                <w:kern w:val="0"/>
                <w:sz w:val="22"/>
                <w:lang w:val="en-US" w:eastAsia="zh-CN"/>
              </w:rPr>
              <w:t>18</w:t>
            </w:r>
            <w:r>
              <w:rPr>
                <w:rFonts w:hint="default" w:ascii="Times New Roman" w:hAnsi="Times New Roman" w:eastAsia="仿宋" w:cs="Times New Roman"/>
                <w:kern w:val="0"/>
                <w:sz w:val="22"/>
              </w:rPr>
              <w:t>年12月31日</w:t>
            </w:r>
          </w:p>
        </w:tc>
      </w:tr>
      <w:tr>
        <w:tblPrEx>
          <w:tblLayout w:type="fixed"/>
          <w:tblCellMar>
            <w:top w:w="0" w:type="dxa"/>
            <w:left w:w="108" w:type="dxa"/>
            <w:bottom w:w="0" w:type="dxa"/>
            <w:right w:w="108" w:type="dxa"/>
          </w:tblCellMar>
        </w:tblPrEx>
        <w:trPr>
          <w:cantSplit/>
          <w:trHeight w:val="445" w:hRule="atLeast"/>
          <w:jc w:val="center"/>
        </w:trPr>
        <w:tc>
          <w:tcPr>
            <w:tcW w:w="36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项目</w:t>
            </w:r>
          </w:p>
        </w:tc>
        <w:tc>
          <w:tcPr>
            <w:tcW w:w="272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数量</w:t>
            </w:r>
          </w:p>
        </w:tc>
        <w:tc>
          <w:tcPr>
            <w:tcW w:w="74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cantSplit/>
          <w:trHeight w:val="445" w:hRule="atLeast"/>
          <w:jc w:val="center"/>
        </w:trPr>
        <w:tc>
          <w:tcPr>
            <w:tcW w:w="3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2"/>
              </w:rPr>
            </w:pPr>
            <w:r>
              <w:rPr>
                <w:rFonts w:hint="default" w:ascii="Times New Roman" w:hAnsi="Times New Roman" w:eastAsia="仿宋" w:cs="Times New Roman"/>
                <w:kern w:val="0"/>
                <w:sz w:val="22"/>
              </w:rPr>
              <w:t>资产总额</w:t>
            </w:r>
          </w:p>
        </w:tc>
        <w:tc>
          <w:tcPr>
            <w:tcW w:w="272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2"/>
              </w:rPr>
            </w:pPr>
            <w:r>
              <w:rPr>
                <w:rFonts w:hint="default" w:ascii="Times New Roman" w:hAnsi="Times New Roman" w:eastAsia="仿宋" w:cs="Times New Roman"/>
                <w:kern w:val="0"/>
                <w:sz w:val="22"/>
              </w:rPr>
              <w:t>——</w:t>
            </w:r>
          </w:p>
        </w:tc>
        <w:tc>
          <w:tcPr>
            <w:tcW w:w="744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 w:cs="Times New Roman"/>
                <w:color w:val="FF0000"/>
                <w:kern w:val="0"/>
                <w:sz w:val="22"/>
                <w:lang w:val="en-US" w:eastAsia="zh-CN"/>
              </w:rPr>
            </w:pPr>
            <w:r>
              <w:rPr>
                <w:rFonts w:hint="eastAsia" w:ascii="Times New Roman" w:hAnsi="Times New Roman" w:eastAsia="仿宋" w:cs="Times New Roman"/>
                <w:color w:val="000000"/>
                <w:kern w:val="0"/>
                <w:sz w:val="22"/>
                <w:lang w:val="en-US" w:eastAsia="zh-CN"/>
              </w:rPr>
              <w:t>39.9849</w:t>
            </w:r>
          </w:p>
        </w:tc>
      </w:tr>
      <w:tr>
        <w:tblPrEx>
          <w:tblLayout w:type="fixed"/>
          <w:tblCellMar>
            <w:top w:w="0" w:type="dxa"/>
            <w:left w:w="108" w:type="dxa"/>
            <w:bottom w:w="0" w:type="dxa"/>
            <w:right w:w="108" w:type="dxa"/>
          </w:tblCellMar>
        </w:tblPrEx>
        <w:trPr>
          <w:cantSplit/>
          <w:trHeight w:val="445" w:hRule="atLeast"/>
          <w:jc w:val="center"/>
        </w:trPr>
        <w:tc>
          <w:tcPr>
            <w:tcW w:w="3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2"/>
              </w:rPr>
            </w:pPr>
            <w:r>
              <w:rPr>
                <w:rFonts w:hint="default" w:ascii="Times New Roman" w:hAnsi="Times New Roman" w:eastAsia="仿宋" w:cs="Times New Roman"/>
                <w:kern w:val="0"/>
                <w:sz w:val="22"/>
              </w:rPr>
              <w:t>1、房屋（平方米）</w:t>
            </w:r>
          </w:p>
        </w:tc>
        <w:tc>
          <w:tcPr>
            <w:tcW w:w="272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2"/>
              </w:rPr>
            </w:pPr>
          </w:p>
        </w:tc>
        <w:tc>
          <w:tcPr>
            <w:tcW w:w="744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2"/>
              </w:rPr>
            </w:pPr>
          </w:p>
        </w:tc>
      </w:tr>
      <w:tr>
        <w:tblPrEx>
          <w:tblLayout w:type="fixed"/>
          <w:tblCellMar>
            <w:top w:w="0" w:type="dxa"/>
            <w:left w:w="108" w:type="dxa"/>
            <w:bottom w:w="0" w:type="dxa"/>
            <w:right w:w="108" w:type="dxa"/>
          </w:tblCellMar>
        </w:tblPrEx>
        <w:trPr>
          <w:cantSplit/>
          <w:trHeight w:val="445" w:hRule="atLeast"/>
          <w:jc w:val="center"/>
        </w:trPr>
        <w:tc>
          <w:tcPr>
            <w:tcW w:w="3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2"/>
              </w:rPr>
            </w:pPr>
            <w:r>
              <w:rPr>
                <w:rFonts w:hint="default" w:ascii="Times New Roman" w:hAnsi="Times New Roman" w:eastAsia="仿宋" w:cs="Times New Roman"/>
                <w:kern w:val="0"/>
                <w:sz w:val="22"/>
              </w:rPr>
              <w:t>其中：办公用房（平方米）</w:t>
            </w:r>
          </w:p>
        </w:tc>
        <w:tc>
          <w:tcPr>
            <w:tcW w:w="272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2"/>
              </w:rPr>
            </w:pPr>
          </w:p>
        </w:tc>
        <w:tc>
          <w:tcPr>
            <w:tcW w:w="744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2"/>
              </w:rPr>
            </w:pPr>
          </w:p>
        </w:tc>
      </w:tr>
      <w:tr>
        <w:tblPrEx>
          <w:tblLayout w:type="fixed"/>
          <w:tblCellMar>
            <w:top w:w="0" w:type="dxa"/>
            <w:left w:w="108" w:type="dxa"/>
            <w:bottom w:w="0" w:type="dxa"/>
            <w:right w:w="108" w:type="dxa"/>
          </w:tblCellMar>
        </w:tblPrEx>
        <w:trPr>
          <w:cantSplit/>
          <w:trHeight w:val="445" w:hRule="atLeast"/>
          <w:jc w:val="center"/>
        </w:trPr>
        <w:tc>
          <w:tcPr>
            <w:tcW w:w="3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2"/>
              </w:rPr>
            </w:pPr>
            <w:r>
              <w:rPr>
                <w:rFonts w:hint="default" w:ascii="Times New Roman" w:hAnsi="Times New Roman" w:eastAsia="仿宋" w:cs="Times New Roman"/>
                <w:kern w:val="0"/>
                <w:sz w:val="22"/>
              </w:rPr>
              <w:t>2、车辆（台、辆）</w:t>
            </w:r>
          </w:p>
        </w:tc>
        <w:tc>
          <w:tcPr>
            <w:tcW w:w="272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 w:cs="Times New Roman"/>
                <w:kern w:val="0"/>
                <w:sz w:val="22"/>
                <w:lang w:eastAsia="zh-CN"/>
              </w:rPr>
            </w:pPr>
            <w:r>
              <w:rPr>
                <w:rFonts w:hint="eastAsia" w:ascii="Times New Roman" w:hAnsi="Times New Roman" w:eastAsia="仿宋" w:cs="Times New Roman"/>
                <w:kern w:val="0"/>
                <w:sz w:val="22"/>
                <w:lang w:val="en-US" w:eastAsia="zh-CN"/>
              </w:rPr>
              <w:t>1</w:t>
            </w:r>
          </w:p>
        </w:tc>
        <w:tc>
          <w:tcPr>
            <w:tcW w:w="744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 w:cs="Times New Roman"/>
                <w:kern w:val="0"/>
                <w:sz w:val="22"/>
                <w:lang w:eastAsia="zh-CN"/>
              </w:rPr>
            </w:pPr>
            <w:r>
              <w:rPr>
                <w:rFonts w:hint="eastAsia" w:ascii="Times New Roman" w:hAnsi="Times New Roman" w:eastAsia="仿宋" w:cs="Times New Roman"/>
                <w:kern w:val="0"/>
                <w:sz w:val="22"/>
                <w:lang w:val="en-US" w:eastAsia="zh-CN"/>
              </w:rPr>
              <w:t>16.5</w:t>
            </w:r>
          </w:p>
        </w:tc>
      </w:tr>
      <w:tr>
        <w:tblPrEx>
          <w:tblLayout w:type="fixed"/>
          <w:tblCellMar>
            <w:top w:w="0" w:type="dxa"/>
            <w:left w:w="108" w:type="dxa"/>
            <w:bottom w:w="0" w:type="dxa"/>
            <w:right w:w="108" w:type="dxa"/>
          </w:tblCellMar>
        </w:tblPrEx>
        <w:trPr>
          <w:cantSplit/>
          <w:trHeight w:val="445" w:hRule="atLeast"/>
          <w:jc w:val="center"/>
        </w:trPr>
        <w:tc>
          <w:tcPr>
            <w:tcW w:w="3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2"/>
              </w:rPr>
            </w:pPr>
            <w:r>
              <w:rPr>
                <w:rFonts w:hint="default" w:ascii="Times New Roman" w:hAnsi="Times New Roman" w:eastAsia="仿宋" w:cs="Times New Roman"/>
                <w:kern w:val="0"/>
                <w:sz w:val="22"/>
              </w:rPr>
              <w:t>3、单价在20万元以上设备</w:t>
            </w:r>
          </w:p>
        </w:tc>
        <w:tc>
          <w:tcPr>
            <w:tcW w:w="272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2"/>
              </w:rPr>
            </w:pPr>
            <w:r>
              <w:rPr>
                <w:rFonts w:hint="default" w:ascii="Times New Roman" w:hAnsi="Times New Roman" w:eastAsia="仿宋" w:cs="Times New Roman"/>
                <w:kern w:val="0"/>
                <w:sz w:val="22"/>
              </w:rPr>
              <w:t>——</w:t>
            </w:r>
          </w:p>
        </w:tc>
        <w:tc>
          <w:tcPr>
            <w:tcW w:w="744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2"/>
              </w:rPr>
            </w:pPr>
          </w:p>
        </w:tc>
      </w:tr>
      <w:tr>
        <w:tblPrEx>
          <w:tblLayout w:type="fixed"/>
          <w:tblCellMar>
            <w:top w:w="0" w:type="dxa"/>
            <w:left w:w="108" w:type="dxa"/>
            <w:bottom w:w="0" w:type="dxa"/>
            <w:right w:w="108" w:type="dxa"/>
          </w:tblCellMar>
        </w:tblPrEx>
        <w:trPr>
          <w:cantSplit/>
          <w:trHeight w:val="478" w:hRule="atLeast"/>
          <w:jc w:val="center"/>
        </w:trPr>
        <w:tc>
          <w:tcPr>
            <w:tcW w:w="363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2"/>
              </w:rPr>
            </w:pPr>
            <w:r>
              <w:rPr>
                <w:rFonts w:hint="default" w:ascii="Times New Roman" w:hAnsi="Times New Roman" w:eastAsia="仿宋" w:cs="Times New Roman"/>
                <w:kern w:val="0"/>
                <w:sz w:val="22"/>
              </w:rPr>
              <w:t>4、其他固定资产</w:t>
            </w:r>
          </w:p>
        </w:tc>
        <w:tc>
          <w:tcPr>
            <w:tcW w:w="272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2"/>
              </w:rPr>
            </w:pPr>
            <w:r>
              <w:rPr>
                <w:rFonts w:hint="default" w:ascii="Times New Roman" w:hAnsi="Times New Roman" w:eastAsia="仿宋" w:cs="Times New Roman"/>
                <w:kern w:val="0"/>
                <w:sz w:val="22"/>
              </w:rPr>
              <w:t>——</w:t>
            </w:r>
          </w:p>
        </w:tc>
        <w:tc>
          <w:tcPr>
            <w:tcW w:w="7444"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23.4849</w:t>
            </w:r>
            <w:bookmarkStart w:id="1" w:name="_GoBack"/>
            <w:bookmarkEnd w:id="1"/>
          </w:p>
        </w:tc>
      </w:tr>
    </w:tbl>
    <w:p>
      <w:pPr>
        <w:rPr>
          <w:rFonts w:ascii="黑体" w:hAnsi="黑体" w:eastAsia="黑体"/>
          <w:color w:val="000000"/>
          <w:sz w:val="32"/>
          <w:szCs w:val="32"/>
        </w:rPr>
      </w:pP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八、名词解释</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1、一般公共预算拨款收入：指</w:t>
      </w:r>
      <w:r>
        <w:rPr>
          <w:rFonts w:hint="eastAsia" w:ascii="Times New Roman" w:hAnsi="Times New Roman" w:eastAsia="仿宋" w:cs="Times New Roman"/>
          <w:sz w:val="32"/>
          <w:szCs w:val="32"/>
          <w:lang w:eastAsia="zh-CN"/>
        </w:rPr>
        <w:t>县</w:t>
      </w:r>
      <w:r>
        <w:rPr>
          <w:rFonts w:hint="eastAsia" w:ascii="Times New Roman" w:hAnsi="Times New Roman" w:eastAsia="仿宋" w:cs="Times New Roman"/>
          <w:sz w:val="32"/>
          <w:szCs w:val="32"/>
        </w:rPr>
        <w:t>级财政当年拨付的资金。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2、事业收入：指事业单位开展专业业务活动及辅助活动所取得的收入。</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3、其他收入：指除“一般公共预算拨款收入”、“事业收入”等以外的收入。主要是按规定动用的租房收入、存款利息收入等。</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4、基本支出：指为保障机构正常运转、完成日常工作任务而发生的人员支出和公用支出。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5、项目支出：指在基本支出之外为完成特定行政任务和事业发展目标所发生的支出。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6、上缴上级支出：指下级单位上缴上级的支出。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7、“三公”经费：纳入</w:t>
      </w:r>
      <w:r>
        <w:rPr>
          <w:rFonts w:hint="eastAsia" w:ascii="Times New Roman" w:hAnsi="Times New Roman" w:eastAsia="仿宋" w:cs="Times New Roman"/>
          <w:sz w:val="32"/>
          <w:szCs w:val="32"/>
          <w:lang w:eastAsia="zh-CN"/>
        </w:rPr>
        <w:t>县</w:t>
      </w:r>
      <w:r>
        <w:rPr>
          <w:rFonts w:hint="eastAsia" w:ascii="Times New Roman" w:hAnsi="Times New Roman" w:eastAsia="仿宋" w:cs="Times New Roman"/>
          <w:sz w:val="32"/>
          <w:szCs w:val="32"/>
        </w:rPr>
        <w:t>级财政预算管理的“三公”经费，是指</w:t>
      </w:r>
      <w:r>
        <w:rPr>
          <w:rFonts w:hint="eastAsia" w:ascii="Times New Roman" w:hAnsi="Times New Roman" w:eastAsia="仿宋" w:cs="Times New Roman"/>
          <w:sz w:val="32"/>
          <w:szCs w:val="32"/>
          <w:lang w:eastAsia="zh-CN"/>
        </w:rPr>
        <w:t>县</w:t>
      </w:r>
      <w:r>
        <w:rPr>
          <w:rFonts w:hint="eastAsia" w:ascii="Times New Roman" w:hAnsi="Times New Roman"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9、上年结转：指以前年度尚未完成、结转到本年仍按原规定用途继续使用的资金。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10、事业单位经营支出：指事业单位在专业业务活动及其辅助活动之外开展非独立核算经营活动发生的支出。</w:t>
      </w:r>
    </w:p>
    <w:p>
      <w:pPr>
        <w:ind w:firstLine="643" w:firstLineChars="200"/>
        <w:rPr>
          <w:rFonts w:ascii="仿宋" w:hAnsi="仿宋" w:eastAsia="仿宋" w:cs="仿宋"/>
          <w:b/>
          <w:color w:val="333333"/>
          <w:sz w:val="32"/>
          <w:szCs w:val="32"/>
        </w:rPr>
      </w:pPr>
      <w:r>
        <w:rPr>
          <w:rFonts w:hint="eastAsia" w:ascii="仿宋" w:hAnsi="仿宋" w:eastAsia="仿宋" w:cs="仿宋"/>
          <w:b/>
          <w:color w:val="333333"/>
          <w:sz w:val="32"/>
          <w:szCs w:val="32"/>
        </w:rPr>
        <w:t>九、其他需说明事项</w:t>
      </w:r>
    </w:p>
    <w:p>
      <w:pPr>
        <w:ind w:firstLine="640" w:firstLineChars="200"/>
        <w:rPr>
          <w:rFonts w:ascii="仿宋" w:hAnsi="仿宋" w:eastAsia="仿宋" w:cs="仿宋"/>
          <w:color w:val="000000"/>
          <w:sz w:val="32"/>
          <w:szCs w:val="32"/>
        </w:rPr>
      </w:pPr>
      <w:r>
        <w:rPr>
          <w:rFonts w:hint="eastAsia" w:ascii="仿宋" w:hAnsi="仿宋" w:eastAsia="仿宋" w:cs="仿宋"/>
          <w:color w:val="333333"/>
          <w:sz w:val="32"/>
          <w:szCs w:val="32"/>
        </w:rPr>
        <w:t>无其他需说明事项</w:t>
      </w:r>
    </w:p>
    <w:p>
      <w:pPr>
        <w:rPr>
          <w:sz w:val="32"/>
          <w:szCs w:val="32"/>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widowControl/>
      </w:pPr>
      <w:r>
        <w:rPr>
          <w:rStyle w:val="10"/>
          <w:rFonts w:hint="default" w:ascii="Times New Roman" w:hAnsi="Times New Roman" w:eastAsia="宋体" w:cs="Symbol"/>
          <w:kern w:val="2"/>
          <w:sz w:val="21"/>
          <w:szCs w:val="24"/>
          <w:lang w:val="en-US" w:eastAsia="zh-CN" w:bidi="ar"/>
        </w:rPr>
        <w:sym w:font="Symbol" w:char="0020"/>
      </w:r>
      <w:r>
        <w:rPr>
          <w:rFonts w:hint="eastAsia" w:ascii="方正楷体_GBK" w:hAnsi="方正楷体_GBK" w:eastAsia="方正楷体_GBK" w:cs="方正楷体_GBK"/>
          <w:kern w:val="2"/>
          <w:sz w:val="24"/>
          <w:szCs w:val="18"/>
          <w:lang w:val="en-US" w:eastAsia="zh-CN" w:bidi="ar"/>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391EC"/>
    <w:multiLevelType w:val="singleLevel"/>
    <w:tmpl w:val="594391EC"/>
    <w:lvl w:ilvl="0" w:tentative="0">
      <w:start w:val="1"/>
      <w:numFmt w:val="chineseCounting"/>
      <w:suff w:val="nothing"/>
      <w:lvlText w:val="%1、"/>
      <w:lvlJc w:val="left"/>
      <w:rPr>
        <w:rFonts w:cs="Times New Roman"/>
      </w:rPr>
    </w:lvl>
  </w:abstractNum>
  <w:abstractNum w:abstractNumId="1">
    <w:nsid w:val="59439485"/>
    <w:multiLevelType w:val="singleLevel"/>
    <w:tmpl w:val="59439485"/>
    <w:lvl w:ilvl="0" w:tentative="0">
      <w:start w:val="4"/>
      <w:numFmt w:val="chineseCounting"/>
      <w:suff w:val="nothing"/>
      <w:lvlText w:val="%1、"/>
      <w:lvlJc w:val="left"/>
      <w:rPr>
        <w:rFonts w:cs="Times New Roman"/>
      </w:rPr>
    </w:lvl>
  </w:abstractNum>
  <w:abstractNum w:abstractNumId="2">
    <w:nsid w:val="59439730"/>
    <w:multiLevelType w:val="singleLevel"/>
    <w:tmpl w:val="59439730"/>
    <w:lvl w:ilvl="0" w:tentative="0">
      <w:start w:val="6"/>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NotTrackMoves/>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64412"/>
    <w:rsid w:val="00023760"/>
    <w:rsid w:val="00077842"/>
    <w:rsid w:val="000D6CBC"/>
    <w:rsid w:val="00125CAB"/>
    <w:rsid w:val="001262D2"/>
    <w:rsid w:val="00176A50"/>
    <w:rsid w:val="001F737A"/>
    <w:rsid w:val="002072D0"/>
    <w:rsid w:val="00214C67"/>
    <w:rsid w:val="00215F8A"/>
    <w:rsid w:val="00286D56"/>
    <w:rsid w:val="0038780E"/>
    <w:rsid w:val="003D17F5"/>
    <w:rsid w:val="003D4845"/>
    <w:rsid w:val="0045283A"/>
    <w:rsid w:val="00483EEE"/>
    <w:rsid w:val="0050604C"/>
    <w:rsid w:val="005333CC"/>
    <w:rsid w:val="00556D53"/>
    <w:rsid w:val="005A7204"/>
    <w:rsid w:val="005D1952"/>
    <w:rsid w:val="0061281A"/>
    <w:rsid w:val="006760DA"/>
    <w:rsid w:val="006A13FC"/>
    <w:rsid w:val="007619AA"/>
    <w:rsid w:val="0083322A"/>
    <w:rsid w:val="00930471"/>
    <w:rsid w:val="009728B5"/>
    <w:rsid w:val="009F2A98"/>
    <w:rsid w:val="00A17942"/>
    <w:rsid w:val="00A618AC"/>
    <w:rsid w:val="00A907EE"/>
    <w:rsid w:val="00AD172E"/>
    <w:rsid w:val="00AF2675"/>
    <w:rsid w:val="00B34C3D"/>
    <w:rsid w:val="00B76D9F"/>
    <w:rsid w:val="00C61AE3"/>
    <w:rsid w:val="00CA11DA"/>
    <w:rsid w:val="00D62338"/>
    <w:rsid w:val="00E113C0"/>
    <w:rsid w:val="00F76D88"/>
    <w:rsid w:val="00FA15E1"/>
    <w:rsid w:val="01035752"/>
    <w:rsid w:val="018834B2"/>
    <w:rsid w:val="022316F7"/>
    <w:rsid w:val="02635FEA"/>
    <w:rsid w:val="03307D5B"/>
    <w:rsid w:val="03472984"/>
    <w:rsid w:val="03806EEF"/>
    <w:rsid w:val="03EF7B51"/>
    <w:rsid w:val="04C26187"/>
    <w:rsid w:val="04F12AFE"/>
    <w:rsid w:val="05191DD4"/>
    <w:rsid w:val="056D694D"/>
    <w:rsid w:val="06096275"/>
    <w:rsid w:val="06D779D0"/>
    <w:rsid w:val="078368F6"/>
    <w:rsid w:val="083D28C1"/>
    <w:rsid w:val="084E52A0"/>
    <w:rsid w:val="09165F6A"/>
    <w:rsid w:val="0A6908C9"/>
    <w:rsid w:val="0B8B30DA"/>
    <w:rsid w:val="0BC614E5"/>
    <w:rsid w:val="0CAE7D4F"/>
    <w:rsid w:val="0D2513AE"/>
    <w:rsid w:val="0E593314"/>
    <w:rsid w:val="0F633A3F"/>
    <w:rsid w:val="101A7770"/>
    <w:rsid w:val="10413677"/>
    <w:rsid w:val="10A9102C"/>
    <w:rsid w:val="11094283"/>
    <w:rsid w:val="112A03C6"/>
    <w:rsid w:val="117274AC"/>
    <w:rsid w:val="11757AD0"/>
    <w:rsid w:val="131B05F2"/>
    <w:rsid w:val="137D05C5"/>
    <w:rsid w:val="13CA22AF"/>
    <w:rsid w:val="15E37736"/>
    <w:rsid w:val="162C4539"/>
    <w:rsid w:val="17D0007A"/>
    <w:rsid w:val="18283DEF"/>
    <w:rsid w:val="19236F07"/>
    <w:rsid w:val="1AFA15BB"/>
    <w:rsid w:val="1B007F43"/>
    <w:rsid w:val="1BB9433D"/>
    <w:rsid w:val="1CFF6FA6"/>
    <w:rsid w:val="1D49546E"/>
    <w:rsid w:val="1DCD4846"/>
    <w:rsid w:val="1DDD56B2"/>
    <w:rsid w:val="1E2D0328"/>
    <w:rsid w:val="1F08141B"/>
    <w:rsid w:val="1F3A6E8F"/>
    <w:rsid w:val="208F7448"/>
    <w:rsid w:val="20B83DD3"/>
    <w:rsid w:val="210E7E8F"/>
    <w:rsid w:val="21972D98"/>
    <w:rsid w:val="21F021E1"/>
    <w:rsid w:val="23762FEB"/>
    <w:rsid w:val="246C1367"/>
    <w:rsid w:val="257B0844"/>
    <w:rsid w:val="27C06962"/>
    <w:rsid w:val="29D83F05"/>
    <w:rsid w:val="2B312421"/>
    <w:rsid w:val="2C025CD5"/>
    <w:rsid w:val="2C5D56AC"/>
    <w:rsid w:val="2DF03C40"/>
    <w:rsid w:val="2E695B46"/>
    <w:rsid w:val="2E696AF7"/>
    <w:rsid w:val="2EDE012F"/>
    <w:rsid w:val="304B6520"/>
    <w:rsid w:val="316A0A7B"/>
    <w:rsid w:val="31BE4A53"/>
    <w:rsid w:val="32A16B3C"/>
    <w:rsid w:val="340D5775"/>
    <w:rsid w:val="343A4F86"/>
    <w:rsid w:val="35536EB2"/>
    <w:rsid w:val="35DD72FB"/>
    <w:rsid w:val="35F86DFB"/>
    <w:rsid w:val="37147C87"/>
    <w:rsid w:val="372A3A50"/>
    <w:rsid w:val="37402046"/>
    <w:rsid w:val="39122147"/>
    <w:rsid w:val="39831FE0"/>
    <w:rsid w:val="3A064412"/>
    <w:rsid w:val="3A0E1F0C"/>
    <w:rsid w:val="3B136AD9"/>
    <w:rsid w:val="3B305620"/>
    <w:rsid w:val="3C221F3D"/>
    <w:rsid w:val="40F07D18"/>
    <w:rsid w:val="4160069B"/>
    <w:rsid w:val="417D30DC"/>
    <w:rsid w:val="41A1159A"/>
    <w:rsid w:val="41B82AD4"/>
    <w:rsid w:val="41CA605C"/>
    <w:rsid w:val="41E972D3"/>
    <w:rsid w:val="42520570"/>
    <w:rsid w:val="429375FB"/>
    <w:rsid w:val="433B44D2"/>
    <w:rsid w:val="44257F57"/>
    <w:rsid w:val="44A16EBF"/>
    <w:rsid w:val="44E573C6"/>
    <w:rsid w:val="4638464C"/>
    <w:rsid w:val="463A0320"/>
    <w:rsid w:val="46E4659F"/>
    <w:rsid w:val="47614C12"/>
    <w:rsid w:val="47836B2B"/>
    <w:rsid w:val="47ED613C"/>
    <w:rsid w:val="486F4691"/>
    <w:rsid w:val="488B72B5"/>
    <w:rsid w:val="492074A8"/>
    <w:rsid w:val="495C6D0E"/>
    <w:rsid w:val="4AE03D40"/>
    <w:rsid w:val="4BD3759F"/>
    <w:rsid w:val="4BDF26C3"/>
    <w:rsid w:val="4C7972FE"/>
    <w:rsid w:val="4DBC4D2F"/>
    <w:rsid w:val="4E677127"/>
    <w:rsid w:val="505260CE"/>
    <w:rsid w:val="511E1F25"/>
    <w:rsid w:val="51552F83"/>
    <w:rsid w:val="523C3A12"/>
    <w:rsid w:val="52665BAA"/>
    <w:rsid w:val="548529BB"/>
    <w:rsid w:val="54E962EA"/>
    <w:rsid w:val="56DC005C"/>
    <w:rsid w:val="58212589"/>
    <w:rsid w:val="595A7C1C"/>
    <w:rsid w:val="5AF807F0"/>
    <w:rsid w:val="5B1745CD"/>
    <w:rsid w:val="5C1B0978"/>
    <w:rsid w:val="5CFA1BD9"/>
    <w:rsid w:val="5D5862C2"/>
    <w:rsid w:val="5DBE0C29"/>
    <w:rsid w:val="5DC667E6"/>
    <w:rsid w:val="60845299"/>
    <w:rsid w:val="60B3698F"/>
    <w:rsid w:val="61B17BDE"/>
    <w:rsid w:val="62133188"/>
    <w:rsid w:val="62931D51"/>
    <w:rsid w:val="629627C5"/>
    <w:rsid w:val="63031A0F"/>
    <w:rsid w:val="636A4C36"/>
    <w:rsid w:val="63B072CB"/>
    <w:rsid w:val="652356B1"/>
    <w:rsid w:val="65C036D5"/>
    <w:rsid w:val="65DB1263"/>
    <w:rsid w:val="67564254"/>
    <w:rsid w:val="676664A4"/>
    <w:rsid w:val="687678CD"/>
    <w:rsid w:val="68F61CFF"/>
    <w:rsid w:val="6912711E"/>
    <w:rsid w:val="69202144"/>
    <w:rsid w:val="6C9156AC"/>
    <w:rsid w:val="6CE13F7E"/>
    <w:rsid w:val="6DC42696"/>
    <w:rsid w:val="6DC516EB"/>
    <w:rsid w:val="6DDB7CC1"/>
    <w:rsid w:val="6ED26881"/>
    <w:rsid w:val="6F462097"/>
    <w:rsid w:val="6F7B1341"/>
    <w:rsid w:val="732459F3"/>
    <w:rsid w:val="73324C06"/>
    <w:rsid w:val="736932DC"/>
    <w:rsid w:val="740D706D"/>
    <w:rsid w:val="74356C79"/>
    <w:rsid w:val="74AC0F06"/>
    <w:rsid w:val="74BD3627"/>
    <w:rsid w:val="76570BA2"/>
    <w:rsid w:val="76896776"/>
    <w:rsid w:val="778663A6"/>
    <w:rsid w:val="785B72FC"/>
    <w:rsid w:val="78BF6DAD"/>
    <w:rsid w:val="78CE6C33"/>
    <w:rsid w:val="792877EF"/>
    <w:rsid w:val="79DC6E28"/>
    <w:rsid w:val="7CB76AF3"/>
    <w:rsid w:val="7D644611"/>
    <w:rsid w:val="7D752941"/>
    <w:rsid w:val="7DBF5C71"/>
    <w:rsid w:val="7DC53133"/>
    <w:rsid w:val="7F0262DA"/>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3">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unhideWhenUsed/>
    <w:qFormat/>
    <w:uiPriority w:val="99"/>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character" w:styleId="7">
    <w:name w:val="page number"/>
    <w:basedOn w:val="6"/>
    <w:unhideWhenUsed/>
    <w:qFormat/>
    <w:uiPriority w:val="99"/>
  </w:style>
  <w:style w:type="character" w:styleId="8">
    <w:name w:val="FollowedHyperlink"/>
    <w:basedOn w:val="6"/>
    <w:unhideWhenUsed/>
    <w:qFormat/>
    <w:uiPriority w:val="99"/>
    <w:rPr>
      <w:color w:val="800080"/>
      <w:u w:val="single"/>
    </w:rPr>
  </w:style>
  <w:style w:type="character" w:styleId="9">
    <w:name w:val="Hyperlink"/>
    <w:basedOn w:val="6"/>
    <w:unhideWhenUsed/>
    <w:qFormat/>
    <w:uiPriority w:val="99"/>
    <w:rPr>
      <w:color w:val="0000FF"/>
      <w:u w:val="single"/>
    </w:rPr>
  </w:style>
  <w:style w:type="character" w:styleId="10">
    <w:name w:val="footnote reference"/>
    <w:basedOn w:val="6"/>
    <w:unhideWhenUsed/>
    <w:qFormat/>
    <w:uiPriority w:val="99"/>
    <w:rPr>
      <w:vertAlign w:val="superscript"/>
    </w:rPr>
  </w:style>
  <w:style w:type="table" w:styleId="12">
    <w:name w:val="Table Grid"/>
    <w:basedOn w:val="11"/>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6"/>
    <w:link w:val="3"/>
    <w:qFormat/>
    <w:locked/>
    <w:uiPriority w:val="99"/>
    <w:rPr>
      <w:rFonts w:ascii="Calibri" w:hAnsi="Calibri" w:cs="Times New Roman"/>
      <w:kern w:val="2"/>
      <w:sz w:val="18"/>
      <w:szCs w:val="18"/>
    </w:rPr>
  </w:style>
  <w:style w:type="character" w:customStyle="1" w:styleId="14">
    <w:name w:val="页脚 Char"/>
    <w:basedOn w:val="6"/>
    <w:link w:val="2"/>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MXWL</Company>
  <Pages>21</Pages>
  <Words>1415</Words>
  <Characters>8071</Characters>
  <Lines>67</Lines>
  <Paragraphs>18</Paragraphs>
  <TotalTime>1</TotalTime>
  <ScaleCrop>false</ScaleCrop>
  <LinksUpToDate>false</LinksUpToDate>
  <CharactersWithSpaces>9468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2017-06-16T08:00:00Z</dcterms:created>
  <dc:creator>lenovo</dc:creator>
  <cp:lastModifiedBy>Administrator</cp:lastModifiedBy>
  <cp:lastPrinted>2018-03-06T01:18:00Z</cp:lastPrinted>
  <dcterms:modified xsi:type="dcterms:W3CDTF">2019-02-26T07:03:15Z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