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中共临西县委</w:t>
      </w:r>
      <w:r>
        <w:rPr>
          <w:rFonts w:hint="eastAsia" w:ascii="宋体" w:hAnsi="宋体"/>
          <w:b/>
          <w:color w:val="000000"/>
          <w:sz w:val="44"/>
          <w:lang w:eastAsia="zh-CN"/>
        </w:rPr>
        <w:t>县直工委</w:t>
      </w:r>
    </w:p>
    <w:p>
      <w:pPr>
        <w:autoSpaceDE w:val="0"/>
        <w:autoSpaceDN w:val="0"/>
        <w:jc w:val="center"/>
        <w:rPr>
          <w:rFonts w:asci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  <w:lang w:eastAsia="zh-CN"/>
        </w:rPr>
        <w:t>2019</w:t>
      </w:r>
      <w:r>
        <w:rPr>
          <w:rFonts w:hint="eastAsia" w:ascii="宋体" w:hAnsi="宋体"/>
          <w:b/>
          <w:color w:val="000000"/>
          <w:sz w:val="44"/>
        </w:rPr>
        <w:t>年部门预算公开信息说明</w:t>
      </w:r>
    </w:p>
    <w:p>
      <w:pPr>
        <w:jc w:val="center"/>
        <w:rPr>
          <w:rFonts w:ascii="仿宋_GB2312" w:hAnsi="FZFangSong-Z02" w:eastAsia="仿宋_GB2312"/>
          <w:color w:val="000000"/>
          <w:sz w:val="32"/>
        </w:rPr>
      </w:pPr>
    </w:p>
    <w:p>
      <w:pPr>
        <w:autoSpaceDE w:val="0"/>
        <w:autoSpaceDN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按照《预算法》、《地方预决算公开操作规程》和《河北省省级预算公开办法》规定，现将临西县委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县直工委2019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年部门预算公开如下：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部门职责及机构设置情况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部门职责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（1）县直机关党的建设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：加强县直机关党的思想政治建设、组织建设、作风建设、制度建设和反腐倡廉建设，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县直机关其他党建工作。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（2）县直武装工作: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加强国防教育，做好民兵应急队伍建设，认真搞好兵役登记及兵员征集工作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，圆满完成征兵任务。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县直</w:t>
      </w:r>
      <w:r>
        <w:rPr>
          <w:rFonts w:hint="eastAsia" w:ascii="仿宋_GB2312" w:hAnsi="仿宋_GB2312" w:eastAsia="仿宋_GB2312" w:cs="仿宋_GB2312"/>
          <w:sz w:val="32"/>
          <w:szCs w:val="32"/>
        </w:rPr>
        <w:t>工委事务管理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：完成好县直机关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委日常业务工作，机关党建调研交流以及县直机关文化活动开展。</w:t>
      </w:r>
    </w:p>
    <w:p>
      <w:pPr>
        <w:tabs>
          <w:tab w:val="left" w:pos="1395"/>
        </w:tabs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机构设置 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中共临西县委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是纳入临西县部门预算汇编范围内的独立核算单位，是单户录入的财政拨款行政单位，本单位是县级一级预算单位。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无下属单位。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二、部门预算安排的总体情况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年度中共临西县委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部门总收入预算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万元，相应支出预算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万元（人员经费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常公用经费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万元（其中专项公用经费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万元）. 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 w:val="0"/>
        <w:autoSpaceDN w:val="0"/>
        <w:adjustRightInd w:val="0"/>
        <w:ind w:firstLine="64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三、机关运行经费安排情况</w:t>
      </w:r>
      <w:bookmarkStart w:id="1" w:name="_GoBack"/>
      <w:bookmarkEnd w:id="1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年中共临西县委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县直工委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部门机关运行经费预算安排4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万元，用于机关工作的基本支出，保障单位正常行政运转。</w:t>
      </w:r>
    </w:p>
    <w:p>
      <w:pPr>
        <w:numPr>
          <w:ilvl w:val="0"/>
          <w:numId w:val="1"/>
        </w:num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 w:val="0"/>
        <w:autoSpaceDN w:val="0"/>
        <w:adjustRightInd w:val="0"/>
        <w:ind w:firstLine="64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财政拨款“三公”经费预算情况及增减变化原因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1、“三公”经费预算安排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万元，其中因公出国（境）费0万元、公务用车购置及运行费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万元、公务招待费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年预算数0万元，较201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年决算无变化。原因是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年我单位没有因公出国工作计划。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因我单位无公务用车，所以公务用车购置及运行费为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3、公务接待费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年大幅度减少。原因是随着党风廉政建设责任制度推进，逐步减少公务接待次数及人数，合理配置公共资源，节约财政支出。</w:t>
      </w:r>
    </w:p>
    <w:p>
      <w:pPr>
        <w:autoSpaceDE w:val="0"/>
        <w:autoSpaceDN w:val="0"/>
        <w:ind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五、绩效预算信息</w:t>
      </w:r>
    </w:p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年度发展规划目标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总体目标：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434343"/>
          <w:sz w:val="32"/>
          <w:szCs w:val="32"/>
        </w:rPr>
        <w:t>强化理论武装。进一步加强机关党的思想政治工作作风建设。保持《党员活动日》制度，继续开展党务干部培训工作。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2、做好党员发展工作。按照中央“控制总量，改善结构，注重质量，发挥作用”的总要求，发展党员工作坚持党员标准、执行发展计划、遵循发展程序、严格审查把关。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健全党建工作制度。进一步修订和完善了“三会一课”、党务公开、民主生活会、党员公开承诺以及民主评议党员、党员活动日等基本制度，加大各项制度的执行和落实力度，不断推进了机关党建工作制度化、规范化建设。</w:t>
      </w:r>
    </w:p>
    <w:p>
      <w:pPr>
        <w:rPr>
          <w:rFonts w:hint="eastAsia" w:ascii="仿宋_GB2312" w:hAnsi="仿宋_GB2312" w:eastAsia="仿宋_GB2312" w:cs="仿宋_GB2312"/>
          <w:color w:val="43434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color w:val="434343"/>
          <w:sz w:val="32"/>
          <w:szCs w:val="32"/>
        </w:rPr>
        <w:t>完成国防武装征兵工作。按照县委和县人武部关于征兵工作的要求，经我委认真研究，要求县直各机关单位要做好宣传和动员，鼓励周围年轻有为青年积极报名应征。</w:t>
      </w:r>
    </w:p>
    <w:p>
      <w:pPr>
        <w:rPr>
          <w:rFonts w:hint="eastAsia" w:ascii="仿宋_GB2312" w:hAnsi="仿宋_GB2312" w:eastAsia="仿宋_GB2312" w:cs="仿宋_GB2312"/>
          <w:b/>
          <w:color w:val="43434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34343"/>
          <w:sz w:val="32"/>
          <w:szCs w:val="32"/>
        </w:rPr>
        <w:t>职责分类绩效目标：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1、贯彻执行《中国共产党党和国家机关基层组织工作条例》，规划县直机关党的建设，分类指导县直各部门机关、企业、事业单位党的建设工作。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负责县直机关各级党组织的设立和撤并；负责审批由选举产生的党的基层委员会、总支部委员会、支部委员会书记、副书记；对县直机关党组织专职书记、副书记、在任期内的调整，提出意见；考察任命县直机关下属支部委员会书记、副书记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3、指导县直机关党组织对入党积极分子进行教育、培养、考察，审批预备党员，做好发展党员工作。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指导督促县直机关党组织对党员严格管理，严格党的组织生活，增强党内生活的原则性，健全党内生活制度。认真开展民主评议党员工作，表彰优秀党员，严肃处理不合格党员。负责办理党员组织关系转移手续和党费缴纳、管理和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5、指导督促县直机关党组织实施党内监督，定期检查党员参加组织生活的情况，督促定期开好党员领导干部民主生活会，了解并掌握机关党员以及领导干部的思想、作风和工作情况，及时向县委反映，并采取措施处理。参与组织人事部门对县直机关领导班子、领导干部的考核考察和民主评议、提出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6、指导督促县直机关党组织对党员进行党的理论、基本路线、方针政策教育，党的基本知识教育，学习掌握社会主义市场经济知识、科学文化知识、法律知识和各种业务知识，不断增强党性，提高素质。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7、抓好县直机关党务工作人员队伍的配备及变动情况，提出意见和建议；不断培训，努力提高党务工作人员的思想政治素质和业务素质；建立健全党务工作运行机制，加强交流，提高机关党建工作水平。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8、配合县直纪委、县直武装部的工作，共同完成所担负的职责任务。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color w:val="FFFFFF"/>
          <w:sz w:val="32"/>
        </w:rPr>
      </w:pPr>
      <w:bookmarkStart w:id="0" w:name="_Toc1651632"/>
      <w:r>
        <w:rPr>
          <w:rFonts w:hint="eastAsia" w:ascii="方正小标宋_GBK" w:eastAsia="方正小标宋_GBK"/>
          <w:sz w:val="32"/>
        </w:rPr>
        <w:t>部门职责-工作活动绩效目标</w:t>
      </w:r>
      <w:r>
        <w:rPr>
          <w:rStyle w:val="9"/>
          <w:rFonts w:ascii="方正小标宋_GBK" w:eastAsia="方正小标宋_GBK"/>
          <w:color w:val="FFFFFF"/>
          <w:sz w:val="32"/>
        </w:rPr>
        <w:footnoteReference w:id="0" w:customMarkFollows="1"/>
        <w:sym w:font="Symbol" w:char="F020"/>
      </w:r>
      <w:bookmarkEnd w:id="0"/>
    </w:p>
    <w:tbl>
      <w:tblPr>
        <w:tblStyle w:val="10"/>
        <w:tblW w:w="1393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208</w:t>
            </w:r>
            <w:r>
              <w:rPr>
                <w:rFonts w:hint="eastAsia" w:ascii="方正小标宋_GBK" w:eastAsia="方正小标宋_GBK"/>
                <w:sz w:val="24"/>
              </w:rPr>
              <w:t>中共临西县委县直机关工作委员会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一、县直机关党的建设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3.05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加强县直机关党的思想政治建设、组织建设、作风建设、制度建设和反腐倡廉建设，做好县直机关其他党建工作。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政治觉悟和思想道德素质明显提高；党组织战斗堡垒作用和党员先锋模范作用进一步增强；其他党建工作得到有效落实。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hint="eastAsia" w:ascii="方正书宋_GBK" w:eastAsia="方正书宋_GBK"/>
                <w:b/>
              </w:rPr>
              <w:t>、思想政治建设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3.05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指导县直机关各级党组织用马克思主义中国化的最新理论成果，教育县直党员干部树立正确的世界观、人生观和价值观；指导县直加强学习型党组织建设和中心组理论学习。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利用各种有效载体开展宣传教育活动,效果明显;学习制度得到普遍落实，各项活动普遍参加;精神文明创建活动参与广泛，公民道德素质、各项活动满意率明显提高。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党员干部教育覆盖率、思想活动完成率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≥90%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≥80%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&lt;80%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二、县直机关人民武装工作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指导县直机关动员组织党内外人士、群众团体积极开展活动，做好全民国防教育和人民武装工作，发挥各自职能作用，服务中心工作。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完成县直民兵组织建设，做好新兵征集工作。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hint="eastAsia" w:ascii="方正书宋_GBK" w:eastAsia="方正书宋_GBK"/>
                <w:b/>
              </w:rPr>
              <w:t>、国防教育和民兵组织建设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教育引导县直干部职工学习国防知识，增强国防观念，支持国防建设，加强专武干部、国防教育宣传员培训和民兵组织建设，提高工作能力和民兵组织战斗力。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组织健全，工作落实。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新兵征集工作完成率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≥95%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≥90%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&lt;80%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三、工委事务管理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0.15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完成好县直机关党委日常业务工作，机关党建网络建设、调研交流工作以及县直机关文化活动开展。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各项工作全部落实。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hint="eastAsia" w:ascii="方正书宋_GBK" w:eastAsia="方正书宋_GBK"/>
                <w:b/>
              </w:rPr>
              <w:t>、综合业务管理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0.15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做好县直机关党组织负责人任免、考核、培训工作；活跃县直机关文化生活，建好机关党建工作信息平台，加强全县机关党建工作调研交流。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各项工作全部落实。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综合业务工作完成率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≥95%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≥90%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&lt;90%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autoSpaceDE w:val="0"/>
        <w:autoSpaceDN w:val="0"/>
        <w:ind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政府采购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预算情况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年我部门无政府采购计划。</w:t>
      </w:r>
    </w:p>
    <w:p>
      <w:pPr>
        <w:numPr>
          <w:ilvl w:val="0"/>
          <w:numId w:val="2"/>
        </w:numPr>
        <w:autoSpaceDE w:val="0"/>
        <w:autoSpaceDN w:val="0"/>
        <w:ind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国有资产信息</w:t>
      </w:r>
    </w:p>
    <w:p>
      <w:pPr>
        <w:tabs>
          <w:tab w:val="left" w:pos="8595"/>
        </w:tabs>
        <w:spacing w:line="360" w:lineRule="auto"/>
        <w:ind w:firstLine="6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截至201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年12月31日，我部门国有固定资产总额为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4.07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万元。其中：通用设备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（家具、用具、装具类）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4.07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万元，所有资产均在中共临西县委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县直工委本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单位中使用，占国有资产的100%。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年无增加国有资产计划。</w:t>
      </w:r>
    </w:p>
    <w:tbl>
      <w:tblPr>
        <w:tblStyle w:val="10"/>
        <w:tblW w:w="7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8"/>
        <w:gridCol w:w="3067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河北省省直部门固定资产占用情况表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编制部门：河北省财政厅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截止时间：2018年12月31日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资产总额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——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1485"/>
                <w:tab w:val="right" w:pos="2851"/>
              </w:tabs>
              <w:jc w:val="left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ab/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Layout w:type="fixed"/>
        </w:tblPrEx>
        <w:trPr>
          <w:trHeight w:val="671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其中：办公用房（平方米）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3、单价在20万元以上的设备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4、其他固定资产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46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4.07</w:t>
            </w:r>
          </w:p>
        </w:tc>
      </w:tr>
    </w:tbl>
    <w:p>
      <w:pPr>
        <w:tabs>
          <w:tab w:val="left" w:pos="8595"/>
        </w:tabs>
        <w:spacing w:line="360" w:lineRule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autoSpaceDE w:val="0"/>
        <w:autoSpaceDN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八、名词解释</w:t>
      </w:r>
    </w:p>
    <w:p>
      <w:pPr>
        <w:ind w:firstLine="469" w:firstLineChars="14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一般公共预算财政拨款收入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公共预算财政拨款收入是指政府凭借国家政治权利，以社会管理者身份筹集以税收为主体的财政收入，主要用于保障和改善民生、维持国家行政职能正常运转、保障国家安全等方面。</w:t>
      </w:r>
    </w:p>
    <w:p>
      <w:pPr>
        <w:ind w:firstLine="472" w:firstLineChars="147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名词解释</w:t>
      </w:r>
    </w:p>
    <w:p>
      <w:pPr>
        <w:ind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基本支出是指为保障机构正常运转、完成日常工作任务而发生的人员支出和公用支出。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项目支出名词解释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项目支出是指在基本支出之外为完成特定行政任务和   事业发展目标所发生的支出。</w:t>
      </w:r>
    </w:p>
    <w:p>
      <w:pPr>
        <w:ind w:firstLine="636" w:firstLineChars="198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三公经费名词解释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三公经费是指本部门（包括部门本级及所属行政单位（含参照公务员法管理的事业单位）、事业单位和其他单位）通过财政拨款资金安排的因公出国（境）费、公务用车购置及运行费和公务接待费。</w:t>
      </w:r>
    </w:p>
    <w:p>
      <w:pPr>
        <w:ind w:firstLine="475" w:firstLineChars="148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机关运行经费名词解释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机关运行经费：指为保障行政单位（含实行公务员管理的事业单位）运行用于购买货物和服务的各项资金。包括办公及印刷费、邮电费、差旅费、会议费、福利费、日常维修费、专用材料以及一般设备购置费、办公用房水电费、办公用房取暖费、办公用房物业费、公务用车运行维护费以及其他费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、其他需说明事项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无其他需说明事项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altName w:val="宋体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Style w:val="9"/>
          <w:rFonts w:hint="eastAsia" w:ascii="仿宋_GB2312" w:hAnsi="仿宋_GB2312" w:eastAsia="仿宋_GB2312" w:cs="仿宋_GB2312"/>
          <w:sz w:val="20"/>
          <w:szCs w:val="20"/>
        </w:rPr>
        <w:sym w:font="Symbol" w:char="F020"/>
      </w:r>
      <w:r>
        <w:rPr>
          <w:rFonts w:hint="eastAsia" w:ascii="仿宋_GB2312" w:hAnsi="仿宋_GB2312" w:eastAsia="仿宋_GB2312" w:cs="仿宋_GB2312"/>
          <w:sz w:val="28"/>
          <w:szCs w:val="20"/>
        </w:rPr>
        <w:t>备注：表中的年度预算数为项目支出，部门工作活动虽未安排项目支出，但由基本支出保障，由于基本支出无法拆分到相应的工作活动，因此部分工作活动没有列示年度预算数。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 w:tentative="0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B4186"/>
    <w:rsid w:val="09221BF1"/>
    <w:rsid w:val="1055722C"/>
    <w:rsid w:val="2CE77A1C"/>
    <w:rsid w:val="4EFF691D"/>
    <w:rsid w:val="50374809"/>
    <w:rsid w:val="56BC4EA5"/>
    <w:rsid w:val="5E0520C3"/>
    <w:rsid w:val="738B484A"/>
    <w:rsid w:val="7AD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styleId="9">
    <w:name w:val="footnote reference"/>
    <w:basedOn w:val="6"/>
    <w:semiHidden/>
    <w:qFormat/>
    <w:uiPriority w:val="0"/>
    <w:rPr>
      <w:vertAlign w:val="superscript"/>
    </w:rPr>
  </w:style>
  <w:style w:type="character" w:customStyle="1" w:styleId="11">
    <w:name w:val="页眉 Char"/>
    <w:basedOn w:val="6"/>
    <w:link w:val="3"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MXWL</Company>
  <Pages>52</Pages>
  <Words>4141</Words>
  <Characters>4298</Characters>
  <Paragraphs>305</Paragraphs>
  <TotalTime>11</TotalTime>
  <ScaleCrop>false</ScaleCrop>
  <LinksUpToDate>false</LinksUpToDate>
  <CharactersWithSpaces>4441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2017-06-16T08:00:00Z</dcterms:created>
  <dc:creator>lenovo</dc:creator>
  <cp:lastModifiedBy>小鱼</cp:lastModifiedBy>
  <cp:lastPrinted>2019-02-21T07:55:49Z</cp:lastPrinted>
  <dcterms:modified xsi:type="dcterms:W3CDTF">2019-02-21T07:59:09Z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