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AB" w:rsidRDefault="005F0212">
      <w:pPr>
        <w:spacing w:line="480" w:lineRule="exact"/>
        <w:jc w:val="center"/>
        <w:rPr>
          <w:rFonts w:hAnsi="宋体"/>
          <w:b/>
          <w:sz w:val="36"/>
          <w:szCs w:val="36"/>
        </w:rPr>
      </w:pPr>
      <w:r>
        <w:rPr>
          <w:rFonts w:hAnsi="宋体" w:hint="eastAsia"/>
          <w:b/>
          <w:sz w:val="36"/>
          <w:szCs w:val="36"/>
        </w:rPr>
        <w:t>临西县科学技术协会</w:t>
      </w:r>
    </w:p>
    <w:p w:rsidR="00F02CAB" w:rsidRDefault="005F0212">
      <w:pPr>
        <w:spacing w:line="480" w:lineRule="exact"/>
        <w:jc w:val="center"/>
        <w:rPr>
          <w:rFonts w:hAnsi="宋体"/>
          <w:b/>
          <w:sz w:val="36"/>
          <w:szCs w:val="36"/>
        </w:rPr>
      </w:pPr>
      <w:r>
        <w:rPr>
          <w:rFonts w:hAnsi="宋体"/>
          <w:b/>
          <w:sz w:val="36"/>
          <w:szCs w:val="36"/>
        </w:rPr>
        <w:t>201</w:t>
      </w:r>
      <w:r>
        <w:rPr>
          <w:rFonts w:hAnsi="宋体" w:hint="eastAsia"/>
          <w:b/>
          <w:sz w:val="36"/>
          <w:szCs w:val="36"/>
        </w:rPr>
        <w:t>9</w:t>
      </w:r>
      <w:r>
        <w:rPr>
          <w:rFonts w:hAnsi="宋体" w:hint="eastAsia"/>
          <w:b/>
          <w:sz w:val="36"/>
          <w:szCs w:val="36"/>
        </w:rPr>
        <w:t>年度部门预算公开情况说明</w:t>
      </w:r>
    </w:p>
    <w:p w:rsidR="00F02CAB" w:rsidRDefault="00F02CAB">
      <w:pPr>
        <w:spacing w:line="480" w:lineRule="exact"/>
        <w:jc w:val="center"/>
        <w:rPr>
          <w:rFonts w:hAnsi="宋体"/>
          <w:b/>
          <w:sz w:val="36"/>
          <w:szCs w:val="36"/>
        </w:rPr>
      </w:pPr>
    </w:p>
    <w:p w:rsidR="00F02CAB" w:rsidRDefault="005F0212">
      <w:pPr>
        <w:spacing w:line="360" w:lineRule="auto"/>
        <w:ind w:firstLineChars="177" w:firstLine="566"/>
        <w:jc w:val="left"/>
        <w:rPr>
          <w:rFonts w:ascii="仿宋_GB2312" w:eastAsia="仿宋_GB2312" w:hAnsi="黑体"/>
          <w:kern w:val="0"/>
          <w:sz w:val="32"/>
          <w:szCs w:val="32"/>
        </w:rPr>
      </w:pPr>
      <w:r>
        <w:rPr>
          <w:rFonts w:ascii="仿宋_GB2312" w:eastAsia="仿宋_GB2312" w:hAnsi="仿宋_GB2312" w:cs="仿宋_GB2312" w:hint="eastAsia"/>
          <w:color w:val="000000"/>
          <w:sz w:val="32"/>
          <w:szCs w:val="32"/>
        </w:rPr>
        <w:t>按照《预算法》、《地方预决算公开操作规程》和《河北省省级预算公开办法》规定，现将临西县科学技术协会</w:t>
      </w:r>
      <w:r>
        <w:rPr>
          <w:rFonts w:ascii="仿宋_GB2312" w:eastAsia="仿宋_GB2312" w:hAnsi="仿宋_GB2312" w:cs="仿宋_GB2312"/>
          <w:color w:val="000000"/>
          <w:sz w:val="32"/>
          <w:szCs w:val="32"/>
        </w:rPr>
        <w:t>201</w:t>
      </w:r>
      <w:r>
        <w:rPr>
          <w:rFonts w:ascii="仿宋_GB2312" w:eastAsia="仿宋_GB2312" w:hAnsi="仿宋_GB2312" w:cs="仿宋_GB2312" w:hint="eastAsia"/>
          <w:color w:val="000000"/>
          <w:sz w:val="32"/>
          <w:szCs w:val="32"/>
        </w:rPr>
        <w:t>9年部门预算公开如下：</w:t>
      </w:r>
    </w:p>
    <w:p w:rsidR="00F02CAB" w:rsidRDefault="005F0212">
      <w:pPr>
        <w:ind w:firstLineChars="200" w:firstLine="562"/>
        <w:rPr>
          <w:rFonts w:ascii="仿宋" w:eastAsia="仿宋" w:hAnsi="仿宋" w:cs="仿宋"/>
          <w:sz w:val="30"/>
          <w:szCs w:val="30"/>
        </w:rPr>
      </w:pPr>
      <w:r>
        <w:rPr>
          <w:rFonts w:ascii="仿宋" w:eastAsia="仿宋" w:hAnsi="仿宋" w:cs="仿宋" w:hint="eastAsia"/>
          <w:b/>
          <w:sz w:val="28"/>
          <w:szCs w:val="28"/>
        </w:rPr>
        <w:t>一、部门职责及机构设置情况</w:t>
      </w:r>
      <w:r>
        <w:rPr>
          <w:rFonts w:ascii="仿宋" w:eastAsia="仿宋" w:hAnsi="仿宋" w:cs="仿宋"/>
          <w:b/>
          <w:sz w:val="28"/>
          <w:szCs w:val="28"/>
        </w:rPr>
        <w:t xml:space="preserve"> </w:t>
      </w:r>
      <w:r>
        <w:rPr>
          <w:rFonts w:ascii="仿宋" w:eastAsia="仿宋" w:hAnsi="仿宋" w:cs="仿宋"/>
          <w:sz w:val="30"/>
          <w:szCs w:val="30"/>
        </w:rPr>
        <w:t xml:space="preserve"> </w:t>
      </w:r>
    </w:p>
    <w:p w:rsidR="00F02CAB" w:rsidRDefault="005F0212">
      <w:pPr>
        <w:ind w:firstLine="560"/>
        <w:rPr>
          <w:rFonts w:ascii="仿宋" w:eastAsia="仿宋" w:hAnsi="仿宋" w:cs="仿宋"/>
          <w:sz w:val="32"/>
          <w:szCs w:val="32"/>
        </w:rPr>
      </w:pPr>
      <w:r>
        <w:rPr>
          <w:rFonts w:ascii="仿宋" w:eastAsia="仿宋" w:hAnsi="仿宋" w:cs="仿宋" w:hint="eastAsia"/>
          <w:b/>
          <w:bCs/>
          <w:sz w:val="32"/>
          <w:szCs w:val="32"/>
        </w:rPr>
        <w:t>部门职责：</w:t>
      </w:r>
      <w:r>
        <w:rPr>
          <w:rFonts w:ascii="仿宋" w:eastAsia="仿宋" w:hAnsi="仿宋" w:cs="仿宋" w:hint="eastAsia"/>
          <w:sz w:val="32"/>
          <w:szCs w:val="32"/>
        </w:rPr>
        <w:t>1、发挥科技创新平台作用</w:t>
      </w:r>
    </w:p>
    <w:p w:rsidR="00F02CAB" w:rsidRDefault="005F0212">
      <w:pPr>
        <w:spacing w:line="500" w:lineRule="exact"/>
        <w:ind w:firstLine="560"/>
        <w:rPr>
          <w:rFonts w:ascii="仿宋" w:eastAsia="仿宋" w:hAnsi="仿宋" w:cs="仿宋"/>
          <w:sz w:val="32"/>
          <w:szCs w:val="32"/>
        </w:rPr>
      </w:pPr>
      <w:r>
        <w:rPr>
          <w:rFonts w:ascii="仿宋" w:eastAsia="仿宋" w:hAnsi="仿宋" w:cs="仿宋" w:hint="eastAsia"/>
          <w:sz w:val="32"/>
          <w:szCs w:val="32"/>
        </w:rPr>
        <w:t>贯彻执行党和国家科技工作的方针、政策、法律、法规；组织编制全县科技发展的中长期规划和年度计划，研究拟定并组织实施“科教兴县”战略和科技体制改革的政策、措施。</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搭建科技体系创新平台，引导企业提升自身综合实力。我们以实施科技扶持措施、增强科技创业中心的企业孵化功能、引导企业提高自主研发能力为抓手，在全县范围内充分营造创业创新的氛围，从而逐渐搭建一个有利于企业自主创新、促进经济增长方式转变的科技创新体系。安排370万元科技奖励资金，用于奖励在科技创新方面取得重要突破的企业，</w:t>
      </w:r>
      <w:r w:rsidR="00D73284">
        <w:rPr>
          <w:rFonts w:ascii="仿宋" w:eastAsia="仿宋" w:hAnsi="仿宋" w:cs="仿宋" w:hint="eastAsia"/>
          <w:sz w:val="32"/>
          <w:szCs w:val="32"/>
        </w:rPr>
        <w:t>其中</w:t>
      </w:r>
      <w:r>
        <w:rPr>
          <w:rFonts w:ascii="仿宋" w:eastAsia="仿宋" w:hAnsi="仿宋" w:cs="仿宋" w:hint="eastAsia"/>
          <w:sz w:val="32"/>
          <w:szCs w:val="32"/>
        </w:rPr>
        <w:t>安排20万元校企合作基金，用于奖励与院校院所合作取得重大成果的企业。提升企业研发水平，争创省级高新技术企业3家，新增科技</w:t>
      </w:r>
      <w:r>
        <w:rPr>
          <w:rFonts w:ascii="仿宋" w:eastAsia="仿宋" w:hAnsi="仿宋" w:cs="仿宋" w:hint="eastAsia"/>
          <w:sz w:val="32"/>
          <w:szCs w:val="32"/>
        </w:rPr>
        <w:lastRenderedPageBreak/>
        <w:t xml:space="preserve">型中小企业60家；签订产学研合作协议2个以上;完善科技扶持政策，强化科技创业中心服务功能；争创省科技强县。　</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2、依托科技项目和科技成果两大载体，切实提高科技工作服务经济的能力。</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 xml:space="preserve">我们以科技与经济紧密结合为出发点，以增强区域经济竞争力为突破口，以培育自主知识产权、形成核心竞争力为目标，大力实施一批重大科技项目，加快科技成果转化为实际生产力步伐，从而带动产业的整体发展。　　</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3、以科技宣传促使群众科技意识的升级。</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精心组织安排好一系列科技宣传和科技活动，大力增强群众的科技文化意识。继续与广播电台、电视台加强合作，做好科技宣传工作。办好科技活动周，开展各种形式的科技下乡、科技扶贫、科技宣传、科技咨询、科技讲座等，使科技培训受益人群达到5000人次以上，强化科技知识、科学思想的普及提高。</w:t>
      </w:r>
    </w:p>
    <w:p w:rsidR="00F02CAB" w:rsidRDefault="00F02CAB">
      <w:pPr>
        <w:ind w:firstLine="560"/>
        <w:rPr>
          <w:rFonts w:ascii="仿宋" w:eastAsia="仿宋" w:hAnsi="仿宋" w:cs="仿宋"/>
          <w:sz w:val="32"/>
          <w:szCs w:val="32"/>
        </w:rPr>
      </w:pPr>
    </w:p>
    <w:p w:rsidR="00F02CAB" w:rsidRDefault="00F02CAB">
      <w:pPr>
        <w:ind w:firstLine="642"/>
        <w:jc w:val="left"/>
        <w:outlineLvl w:val="0"/>
        <w:rPr>
          <w:rFonts w:ascii="仿宋" w:eastAsia="仿宋" w:hAnsi="仿宋" w:cs="仿宋"/>
          <w:b/>
          <w:sz w:val="32"/>
          <w:szCs w:val="32"/>
        </w:rPr>
      </w:pPr>
    </w:p>
    <w:p w:rsidR="00F02CAB" w:rsidRDefault="005F0212">
      <w:pPr>
        <w:ind w:firstLineChars="200" w:firstLine="643"/>
        <w:jc w:val="left"/>
        <w:outlineLvl w:val="0"/>
        <w:rPr>
          <w:rFonts w:ascii="仿宋" w:eastAsia="仿宋" w:hAnsi="仿宋" w:cs="仿宋"/>
          <w:b/>
          <w:sz w:val="32"/>
          <w:szCs w:val="32"/>
        </w:rPr>
      </w:pPr>
      <w:r>
        <w:rPr>
          <w:rFonts w:ascii="仿宋" w:eastAsia="仿宋" w:hAnsi="仿宋" w:cs="仿宋" w:hint="eastAsia"/>
          <w:b/>
          <w:sz w:val="32"/>
          <w:szCs w:val="32"/>
        </w:rPr>
        <w:lastRenderedPageBreak/>
        <w:t>机构设置</w:t>
      </w:r>
    </w:p>
    <w:p w:rsidR="00F02CAB" w:rsidRDefault="005F0212">
      <w:pPr>
        <w:jc w:val="center"/>
        <w:outlineLvl w:val="0"/>
        <w:rPr>
          <w:rFonts w:ascii="Times New Roman" w:eastAsia="方正小标宋_GBK" w:hAnsi="Times New Roman"/>
          <w:sz w:val="32"/>
        </w:rPr>
      </w:pPr>
      <w:r>
        <w:rPr>
          <w:rFonts w:ascii="Times New Roman" w:eastAsia="方正小标宋_GBK" w:hAnsi="Times New Roman"/>
          <w:sz w:val="32"/>
        </w:rPr>
        <w:t>部门</w:t>
      </w:r>
      <w:r>
        <w:rPr>
          <w:rFonts w:ascii="Times New Roman" w:eastAsia="方正小标宋_GBK" w:hAnsi="Times New Roman" w:hint="eastAsia"/>
          <w:sz w:val="32"/>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F02CAB">
        <w:trPr>
          <w:trHeight w:val="300"/>
          <w:tblHeader/>
          <w:jc w:val="center"/>
        </w:trPr>
        <w:tc>
          <w:tcPr>
            <w:tcW w:w="4417" w:type="dxa"/>
            <w:vMerge w:val="restart"/>
            <w:vAlign w:val="center"/>
          </w:tcPr>
          <w:p w:rsidR="00F02CAB" w:rsidRDefault="005F0212">
            <w:pPr>
              <w:spacing w:line="300" w:lineRule="exact"/>
              <w:jc w:val="center"/>
              <w:rPr>
                <w:rFonts w:ascii="Times New Roman" w:eastAsia="方正书宋_GBK" w:hAnsi="Times New Roman"/>
                <w:b/>
              </w:rPr>
            </w:pPr>
            <w:r>
              <w:rPr>
                <w:rFonts w:ascii="Times New Roman" w:eastAsia="方正书宋_GBK" w:hAnsi="Times New Roman"/>
                <w:b/>
              </w:rPr>
              <w:t>单位名称</w:t>
            </w:r>
          </w:p>
        </w:tc>
        <w:tc>
          <w:tcPr>
            <w:tcW w:w="1134" w:type="dxa"/>
            <w:vMerge w:val="restart"/>
            <w:vAlign w:val="center"/>
          </w:tcPr>
          <w:p w:rsidR="00F02CAB" w:rsidRDefault="005F0212">
            <w:pPr>
              <w:spacing w:line="300" w:lineRule="exact"/>
              <w:jc w:val="center"/>
              <w:rPr>
                <w:rFonts w:ascii="Times New Roman" w:eastAsia="方正书宋_GBK" w:hAnsi="Times New Roman"/>
                <w:b/>
              </w:rPr>
            </w:pPr>
            <w:r>
              <w:rPr>
                <w:rFonts w:ascii="Times New Roman" w:eastAsia="方正书宋_GBK" w:hAnsi="Times New Roman"/>
                <w:b/>
              </w:rPr>
              <w:t>单位性质</w:t>
            </w:r>
          </w:p>
        </w:tc>
        <w:tc>
          <w:tcPr>
            <w:tcW w:w="1276" w:type="dxa"/>
            <w:vMerge w:val="restart"/>
            <w:vAlign w:val="center"/>
          </w:tcPr>
          <w:p w:rsidR="00F02CAB" w:rsidRDefault="005F0212">
            <w:pPr>
              <w:spacing w:line="300" w:lineRule="exact"/>
              <w:jc w:val="center"/>
              <w:rPr>
                <w:rFonts w:ascii="Times New Roman" w:eastAsia="方正书宋_GBK" w:hAnsi="Times New Roman"/>
                <w:b/>
              </w:rPr>
            </w:pPr>
            <w:r>
              <w:rPr>
                <w:rFonts w:ascii="Times New Roman" w:eastAsia="方正书宋_GBK" w:hAnsi="Times New Roman"/>
                <w:b/>
              </w:rPr>
              <w:t>单位规格</w:t>
            </w:r>
          </w:p>
        </w:tc>
        <w:tc>
          <w:tcPr>
            <w:tcW w:w="2902" w:type="dxa"/>
            <w:vMerge w:val="restart"/>
            <w:vAlign w:val="center"/>
          </w:tcPr>
          <w:p w:rsidR="00F02CAB" w:rsidRDefault="005F0212">
            <w:pPr>
              <w:spacing w:line="300" w:lineRule="exact"/>
              <w:jc w:val="center"/>
              <w:rPr>
                <w:rFonts w:ascii="Times New Roman" w:eastAsia="方正书宋_GBK" w:hAnsi="Times New Roman"/>
                <w:b/>
              </w:rPr>
            </w:pPr>
            <w:r>
              <w:rPr>
                <w:rFonts w:ascii="Times New Roman" w:eastAsia="方正书宋_GBK" w:hAnsi="Times New Roman"/>
                <w:b/>
              </w:rPr>
              <w:t>经费保障形式</w:t>
            </w:r>
          </w:p>
        </w:tc>
      </w:tr>
      <w:tr w:rsidR="00F02CAB">
        <w:trPr>
          <w:trHeight w:val="300"/>
          <w:tblHeader/>
          <w:jc w:val="center"/>
        </w:trPr>
        <w:tc>
          <w:tcPr>
            <w:tcW w:w="4417" w:type="dxa"/>
            <w:vMerge/>
            <w:vAlign w:val="center"/>
          </w:tcPr>
          <w:p w:rsidR="00F02CAB" w:rsidRDefault="00F02CAB">
            <w:pPr>
              <w:spacing w:line="300" w:lineRule="exact"/>
              <w:jc w:val="left"/>
              <w:outlineLvl w:val="0"/>
              <w:rPr>
                <w:rFonts w:ascii="Times New Roman" w:hAnsi="Times New Roman"/>
              </w:rPr>
            </w:pPr>
          </w:p>
        </w:tc>
        <w:tc>
          <w:tcPr>
            <w:tcW w:w="1134" w:type="dxa"/>
            <w:vMerge/>
            <w:vAlign w:val="center"/>
          </w:tcPr>
          <w:p w:rsidR="00F02CAB" w:rsidRDefault="00F02CAB">
            <w:pPr>
              <w:spacing w:line="300" w:lineRule="exact"/>
              <w:jc w:val="left"/>
              <w:outlineLvl w:val="0"/>
              <w:rPr>
                <w:rFonts w:ascii="Times New Roman" w:hAnsi="Times New Roman"/>
              </w:rPr>
            </w:pPr>
          </w:p>
        </w:tc>
        <w:tc>
          <w:tcPr>
            <w:tcW w:w="1276" w:type="dxa"/>
            <w:vMerge/>
            <w:vAlign w:val="center"/>
          </w:tcPr>
          <w:p w:rsidR="00F02CAB" w:rsidRDefault="00F02CAB">
            <w:pPr>
              <w:spacing w:line="300" w:lineRule="exact"/>
              <w:jc w:val="left"/>
              <w:outlineLvl w:val="0"/>
              <w:rPr>
                <w:rFonts w:ascii="Times New Roman" w:hAnsi="Times New Roman"/>
              </w:rPr>
            </w:pPr>
          </w:p>
        </w:tc>
        <w:tc>
          <w:tcPr>
            <w:tcW w:w="2902" w:type="dxa"/>
            <w:vMerge/>
            <w:vAlign w:val="center"/>
          </w:tcPr>
          <w:p w:rsidR="00F02CAB" w:rsidRDefault="00F02CAB">
            <w:pPr>
              <w:spacing w:line="300" w:lineRule="exact"/>
              <w:jc w:val="left"/>
              <w:outlineLvl w:val="0"/>
              <w:rPr>
                <w:rFonts w:ascii="Times New Roman" w:hAnsi="Times New Roman"/>
              </w:rPr>
            </w:pPr>
          </w:p>
        </w:tc>
      </w:tr>
      <w:tr w:rsidR="00F02CAB">
        <w:trPr>
          <w:trHeight w:val="227"/>
          <w:jc w:val="center"/>
        </w:trPr>
        <w:tc>
          <w:tcPr>
            <w:tcW w:w="4417" w:type="dxa"/>
            <w:vAlign w:val="center"/>
          </w:tcPr>
          <w:p w:rsidR="00F02CAB" w:rsidRDefault="005F0212">
            <w:pPr>
              <w:spacing w:line="300" w:lineRule="exact"/>
              <w:jc w:val="left"/>
              <w:rPr>
                <w:rFonts w:ascii="Times New Roman" w:eastAsia="方正书宋_GBK" w:hAnsi="Times New Roman"/>
              </w:rPr>
            </w:pPr>
            <w:r>
              <w:rPr>
                <w:rFonts w:ascii="方正书宋_GBK" w:eastAsia="方正书宋_GBK" w:hint="eastAsia"/>
              </w:rPr>
              <w:t>临西县科学技术协会</w:t>
            </w:r>
          </w:p>
        </w:tc>
        <w:tc>
          <w:tcPr>
            <w:tcW w:w="1134" w:type="dxa"/>
            <w:vAlign w:val="center"/>
          </w:tcPr>
          <w:p w:rsidR="00F02CAB" w:rsidRDefault="005F0212">
            <w:pPr>
              <w:spacing w:line="300" w:lineRule="exact"/>
              <w:jc w:val="center"/>
              <w:rPr>
                <w:rFonts w:ascii="Times New Roman" w:eastAsia="方正书宋_GBK" w:hAnsi="Times New Roman"/>
              </w:rPr>
            </w:pPr>
            <w:r>
              <w:rPr>
                <w:rFonts w:ascii="方正书宋_GBK" w:eastAsia="方正书宋_GBK" w:hint="eastAsia"/>
              </w:rPr>
              <w:t>参公</w:t>
            </w:r>
          </w:p>
        </w:tc>
        <w:tc>
          <w:tcPr>
            <w:tcW w:w="1276" w:type="dxa"/>
            <w:vAlign w:val="center"/>
          </w:tcPr>
          <w:p w:rsidR="00F02CAB" w:rsidRDefault="005F0212">
            <w:pPr>
              <w:spacing w:line="300" w:lineRule="exact"/>
              <w:jc w:val="center"/>
              <w:rPr>
                <w:rFonts w:ascii="Times New Roman" w:eastAsia="方正书宋_GBK" w:hAnsi="Times New Roman"/>
              </w:rPr>
            </w:pPr>
            <w:r>
              <w:rPr>
                <w:rFonts w:ascii="方正书宋_GBK" w:eastAsia="方正书宋_GBK" w:hint="eastAsia"/>
              </w:rPr>
              <w:t>科级</w:t>
            </w:r>
          </w:p>
        </w:tc>
        <w:tc>
          <w:tcPr>
            <w:tcW w:w="2902" w:type="dxa"/>
            <w:vAlign w:val="center"/>
          </w:tcPr>
          <w:p w:rsidR="00F02CAB" w:rsidRDefault="005F0212">
            <w:pPr>
              <w:spacing w:line="300" w:lineRule="exact"/>
              <w:jc w:val="center"/>
              <w:rPr>
                <w:rFonts w:ascii="Times New Roman" w:eastAsia="方正书宋_GBK" w:hAnsi="Times New Roman"/>
              </w:rPr>
            </w:pPr>
            <w:r>
              <w:rPr>
                <w:rFonts w:ascii="方正书宋_GBK" w:eastAsia="方正书宋_GBK" w:hint="eastAsia"/>
              </w:rPr>
              <w:t>财政拨款</w:t>
            </w:r>
          </w:p>
        </w:tc>
      </w:tr>
      <w:tr w:rsidR="00F02CAB">
        <w:trPr>
          <w:trHeight w:val="227"/>
          <w:jc w:val="center"/>
        </w:trPr>
        <w:tc>
          <w:tcPr>
            <w:tcW w:w="4417" w:type="dxa"/>
            <w:vAlign w:val="center"/>
          </w:tcPr>
          <w:p w:rsidR="00F02CAB" w:rsidRDefault="00F02CAB">
            <w:pPr>
              <w:spacing w:line="300" w:lineRule="exact"/>
              <w:jc w:val="left"/>
              <w:rPr>
                <w:rFonts w:ascii="Times New Roman" w:eastAsia="方正书宋_GBK" w:hAnsi="Times New Roman"/>
              </w:rPr>
            </w:pPr>
          </w:p>
        </w:tc>
        <w:tc>
          <w:tcPr>
            <w:tcW w:w="1134" w:type="dxa"/>
            <w:vAlign w:val="center"/>
          </w:tcPr>
          <w:p w:rsidR="00F02CAB" w:rsidRDefault="00F02CAB">
            <w:pPr>
              <w:spacing w:line="300" w:lineRule="exact"/>
              <w:jc w:val="center"/>
              <w:rPr>
                <w:rFonts w:ascii="Times New Roman" w:eastAsia="方正书宋_GBK" w:hAnsi="Times New Roman"/>
              </w:rPr>
            </w:pPr>
          </w:p>
        </w:tc>
        <w:tc>
          <w:tcPr>
            <w:tcW w:w="1276" w:type="dxa"/>
            <w:vAlign w:val="center"/>
          </w:tcPr>
          <w:p w:rsidR="00F02CAB" w:rsidRDefault="00F02CAB">
            <w:pPr>
              <w:spacing w:line="300" w:lineRule="exact"/>
              <w:jc w:val="center"/>
              <w:rPr>
                <w:rFonts w:ascii="Times New Roman" w:eastAsia="方正书宋_GBK" w:hAnsi="Times New Roman"/>
              </w:rPr>
            </w:pPr>
          </w:p>
        </w:tc>
        <w:tc>
          <w:tcPr>
            <w:tcW w:w="2902" w:type="dxa"/>
            <w:vAlign w:val="center"/>
          </w:tcPr>
          <w:p w:rsidR="00F02CAB" w:rsidRDefault="00F02CAB">
            <w:pPr>
              <w:spacing w:line="300" w:lineRule="exact"/>
              <w:jc w:val="center"/>
              <w:rPr>
                <w:rFonts w:ascii="Times New Roman" w:eastAsia="方正书宋_GBK" w:hAnsi="Times New Roman"/>
              </w:rPr>
            </w:pPr>
          </w:p>
        </w:tc>
      </w:tr>
    </w:tbl>
    <w:p w:rsidR="00F02CAB" w:rsidRDefault="005F0212">
      <w:pPr>
        <w:autoSpaceDE w:val="0"/>
        <w:autoSpaceDN w:val="0"/>
        <w:ind w:firstLineChars="200" w:firstLine="640"/>
        <w:rPr>
          <w:rFonts w:ascii="黑体" w:eastAsia="黑体" w:hAnsi="黑体"/>
          <w:color w:val="000000"/>
          <w:sz w:val="32"/>
        </w:rPr>
      </w:pPr>
      <w:r>
        <w:rPr>
          <w:rFonts w:ascii="黑体" w:eastAsia="黑体" w:hAnsi="黑体" w:hint="eastAsia"/>
          <w:color w:val="000000"/>
          <w:sz w:val="32"/>
        </w:rPr>
        <w:t>二、部门预算安排的总体情况</w:t>
      </w:r>
    </w:p>
    <w:p w:rsidR="00F02CAB" w:rsidRDefault="005F0212">
      <w:pPr>
        <w:autoSpaceDE w:val="0"/>
        <w:autoSpaceDN w:val="0"/>
        <w:rPr>
          <w:rFonts w:ascii="仿宋_GB2312" w:eastAsia="仿宋_GB2312" w:hAnsi="仿宋_GB2312"/>
          <w:color w:val="000000"/>
          <w:sz w:val="32"/>
        </w:rPr>
      </w:pPr>
      <w:r>
        <w:rPr>
          <w:rFonts w:ascii="仿宋_GB2312" w:eastAsia="仿宋_GB2312" w:hAnsi="仿宋_GB2312"/>
          <w:color w:val="000000"/>
          <w:sz w:val="32"/>
        </w:rPr>
        <w:t xml:space="preserve">    </w:t>
      </w:r>
      <w:r>
        <w:rPr>
          <w:rFonts w:ascii="仿宋_GB2312" w:eastAsia="仿宋_GB2312" w:hAnsi="仿宋_GB2312" w:hint="eastAsia"/>
          <w:color w:val="000000"/>
          <w:sz w:val="32"/>
        </w:rPr>
        <w:t>按照预算管理有关规定，目前我部门预算的编制实行综合预算制度，即全部收入和支出都反映预算中。临西县科学技术协会的收支包含在部门预算中。</w:t>
      </w:r>
    </w:p>
    <w:p w:rsidR="00F02CAB" w:rsidRDefault="005F0212">
      <w:pPr>
        <w:autoSpaceDE w:val="0"/>
        <w:autoSpaceDN w:val="0"/>
        <w:rPr>
          <w:rFonts w:ascii="仿宋_GB2312" w:eastAsia="仿宋_GB2312" w:hAnsi="仿宋_GB2312"/>
          <w:b/>
          <w:bCs/>
          <w:color w:val="000000"/>
          <w:sz w:val="32"/>
        </w:rPr>
      </w:pPr>
      <w:r>
        <w:rPr>
          <w:rFonts w:ascii="仿宋_GB2312" w:eastAsia="仿宋_GB2312" w:hAnsi="仿宋_GB2312"/>
          <w:color w:val="000000"/>
          <w:sz w:val="32"/>
        </w:rPr>
        <w:t xml:space="preserve">     </w:t>
      </w:r>
      <w:r>
        <w:rPr>
          <w:rFonts w:ascii="仿宋_GB2312" w:eastAsia="仿宋_GB2312" w:hAnsi="仿宋_GB2312"/>
          <w:b/>
          <w:bCs/>
          <w:color w:val="000000"/>
          <w:sz w:val="32"/>
        </w:rPr>
        <w:t>1</w:t>
      </w:r>
      <w:r>
        <w:rPr>
          <w:rFonts w:ascii="仿宋_GB2312" w:eastAsia="仿宋_GB2312" w:hAnsi="仿宋_GB2312" w:hint="eastAsia"/>
          <w:b/>
          <w:bCs/>
          <w:color w:val="000000"/>
          <w:sz w:val="32"/>
        </w:rPr>
        <w:t>、收入说明</w:t>
      </w:r>
    </w:p>
    <w:p w:rsidR="00F02CAB" w:rsidRDefault="005F0212">
      <w:pPr>
        <w:autoSpaceDE w:val="0"/>
        <w:autoSpaceDN w:val="0"/>
        <w:rPr>
          <w:rFonts w:ascii="仿宋_GB2312" w:eastAsia="仿宋_GB2312" w:hAnsi="仿宋_GB2312"/>
          <w:color w:val="000000"/>
          <w:sz w:val="32"/>
        </w:rPr>
      </w:pPr>
      <w:r>
        <w:rPr>
          <w:rFonts w:ascii="仿宋_GB2312" w:eastAsia="仿宋_GB2312" w:hAnsi="仿宋_GB2312"/>
          <w:color w:val="000000"/>
          <w:sz w:val="32"/>
        </w:rPr>
        <w:t xml:space="preserve">    </w:t>
      </w:r>
      <w:r>
        <w:rPr>
          <w:rFonts w:ascii="仿宋_GB2312" w:eastAsia="仿宋_GB2312" w:hAnsi="仿宋_GB2312" w:hint="eastAsia"/>
          <w:color w:val="000000"/>
          <w:sz w:val="32"/>
        </w:rPr>
        <w:t>反映本部门当年全部收入。</w:t>
      </w:r>
      <w:r>
        <w:rPr>
          <w:rFonts w:ascii="仿宋_GB2312" w:eastAsia="仿宋_GB2312" w:hAnsi="仿宋_GB2312"/>
          <w:color w:val="000000"/>
          <w:sz w:val="32"/>
        </w:rPr>
        <w:t>201</w:t>
      </w:r>
      <w:r>
        <w:rPr>
          <w:rFonts w:ascii="仿宋_GB2312" w:eastAsia="仿宋_GB2312" w:hAnsi="仿宋_GB2312" w:hint="eastAsia"/>
          <w:color w:val="000000"/>
          <w:sz w:val="32"/>
        </w:rPr>
        <w:t>9年财政拨款预算收入559.98万元，其中一般公共预算收入559.98万元、基金预算收入0万元、财政专户核拨收入0万元、其他来源收入0万元。</w:t>
      </w:r>
    </w:p>
    <w:p w:rsidR="00F02CAB" w:rsidRDefault="005F0212">
      <w:pPr>
        <w:autoSpaceDE w:val="0"/>
        <w:autoSpaceDN w:val="0"/>
        <w:rPr>
          <w:rFonts w:ascii="仿宋_GB2312" w:eastAsia="仿宋_GB2312" w:hAnsi="仿宋_GB2312"/>
          <w:b/>
          <w:bCs/>
          <w:color w:val="000000"/>
          <w:sz w:val="32"/>
        </w:rPr>
      </w:pPr>
      <w:r>
        <w:rPr>
          <w:rFonts w:ascii="仿宋_GB2312" w:eastAsia="仿宋_GB2312" w:hAnsi="仿宋_GB2312"/>
          <w:color w:val="000000"/>
          <w:sz w:val="32"/>
        </w:rPr>
        <w:t xml:space="preserve">     </w:t>
      </w:r>
      <w:r>
        <w:rPr>
          <w:rFonts w:ascii="仿宋_GB2312" w:eastAsia="仿宋_GB2312" w:hAnsi="仿宋_GB2312"/>
          <w:b/>
          <w:bCs/>
          <w:color w:val="000000"/>
          <w:sz w:val="32"/>
        </w:rPr>
        <w:t>2</w:t>
      </w:r>
      <w:r>
        <w:rPr>
          <w:rFonts w:ascii="仿宋_GB2312" w:eastAsia="仿宋_GB2312" w:hAnsi="仿宋_GB2312" w:hint="eastAsia"/>
          <w:b/>
          <w:bCs/>
          <w:color w:val="000000"/>
          <w:sz w:val="32"/>
        </w:rPr>
        <w:t>、支出说明</w:t>
      </w:r>
    </w:p>
    <w:p w:rsidR="00F02CAB" w:rsidRDefault="005F0212">
      <w:pPr>
        <w:jc w:val="left"/>
        <w:rPr>
          <w:rFonts w:ascii="仿宋_GB2312" w:eastAsia="仿宋_GB2312" w:hAnsi="仿宋_GB2312"/>
          <w:color w:val="000000"/>
          <w:sz w:val="32"/>
        </w:rPr>
      </w:pPr>
      <w:r>
        <w:rPr>
          <w:rFonts w:ascii="仿宋_GB2312" w:eastAsia="仿宋_GB2312" w:hAnsi="仿宋_GB2312"/>
          <w:color w:val="000000"/>
          <w:sz w:val="32"/>
        </w:rPr>
        <w:t xml:space="preserve">    </w:t>
      </w:r>
      <w:r>
        <w:rPr>
          <w:rFonts w:ascii="仿宋_GB2312" w:eastAsia="仿宋_GB2312" w:hAnsi="仿宋_GB2312" w:hint="eastAsia"/>
          <w:color w:val="000000"/>
          <w:sz w:val="32"/>
        </w:rPr>
        <w:t>收支预算总表支出栏、基本支出表、项目支出表按经济分类和支出功能分类科目编制，反映临西县科学技术协会年度部门预算中支出预算的总体情况。</w:t>
      </w:r>
      <w:r>
        <w:rPr>
          <w:rFonts w:ascii="仿宋_GB2312" w:eastAsia="仿宋_GB2312" w:hAnsi="仿宋_GB2312"/>
          <w:color w:val="000000"/>
          <w:sz w:val="32"/>
        </w:rPr>
        <w:t>201</w:t>
      </w:r>
      <w:r>
        <w:rPr>
          <w:rFonts w:ascii="仿宋_GB2312" w:eastAsia="仿宋_GB2312" w:hAnsi="仿宋_GB2312" w:hint="eastAsia"/>
          <w:color w:val="000000"/>
          <w:sz w:val="32"/>
        </w:rPr>
        <w:t>9年支出预算559.98万元，其中基本支出</w:t>
      </w:r>
      <w:r>
        <w:rPr>
          <w:rFonts w:ascii="仿宋_GB2312" w:eastAsia="仿宋_GB2312" w:hAnsi="仿宋_GB2312" w:hint="eastAsia"/>
          <w:color w:val="000000"/>
          <w:sz w:val="32"/>
        </w:rPr>
        <w:lastRenderedPageBreak/>
        <w:t>118.58万元（人员经费110万元，公用经费8.58万元），项目支出441.4万元（科技奖励等项目）。</w:t>
      </w:r>
    </w:p>
    <w:p w:rsidR="00F02CAB" w:rsidRDefault="005F0212">
      <w:pPr>
        <w:autoSpaceDE w:val="0"/>
        <w:autoSpaceDN w:val="0"/>
        <w:ind w:firstLineChars="200" w:firstLine="643"/>
        <w:rPr>
          <w:rFonts w:ascii="仿宋_GB2312" w:eastAsia="仿宋_GB2312" w:hAnsi="仿宋_GB2312"/>
          <w:color w:val="000000"/>
          <w:sz w:val="32"/>
        </w:rPr>
      </w:pPr>
      <w:r>
        <w:rPr>
          <w:rFonts w:ascii="仿宋_GB2312" w:eastAsia="仿宋_GB2312" w:hAnsi="仿宋_GB2312"/>
          <w:b/>
          <w:bCs/>
          <w:color w:val="000000"/>
          <w:sz w:val="32"/>
        </w:rPr>
        <w:t>3</w:t>
      </w:r>
      <w:r>
        <w:rPr>
          <w:rFonts w:ascii="仿宋_GB2312" w:eastAsia="仿宋_GB2312" w:hAnsi="仿宋_GB2312" w:hint="eastAsia"/>
          <w:b/>
          <w:bCs/>
          <w:color w:val="000000"/>
          <w:sz w:val="32"/>
        </w:rPr>
        <w:t>、比上年增减情况</w:t>
      </w:r>
    </w:p>
    <w:p w:rsidR="00F02CAB" w:rsidRDefault="005F0212">
      <w:pPr>
        <w:ind w:firstLineChars="200" w:firstLine="640"/>
        <w:rPr>
          <w:rFonts w:ascii="仿宋_GB2312" w:eastAsia="仿宋_GB2312" w:hAnsi="仿宋_GB2312"/>
          <w:sz w:val="32"/>
        </w:rPr>
      </w:pPr>
      <w:r>
        <w:rPr>
          <w:rFonts w:ascii="仿宋_GB2312" w:eastAsia="仿宋_GB2312" w:hAnsi="仿宋_GB2312"/>
          <w:color w:val="0000FF"/>
          <w:sz w:val="32"/>
        </w:rPr>
        <w:t xml:space="preserve"> </w:t>
      </w:r>
      <w:r>
        <w:rPr>
          <w:rFonts w:ascii="仿宋_GB2312" w:eastAsia="仿宋_GB2312" w:hAnsi="仿宋_GB2312"/>
          <w:sz w:val="32"/>
        </w:rPr>
        <w:t>201</w:t>
      </w:r>
      <w:r>
        <w:rPr>
          <w:rFonts w:ascii="仿宋_GB2312" w:eastAsia="仿宋_GB2312" w:hAnsi="仿宋_GB2312" w:hint="eastAsia"/>
          <w:sz w:val="32"/>
        </w:rPr>
        <w:t>9年，部门预算收支安排559.98万元，较</w:t>
      </w:r>
      <w:r>
        <w:rPr>
          <w:rFonts w:ascii="仿宋_GB2312" w:eastAsia="仿宋_GB2312" w:hAnsi="仿宋_GB2312"/>
          <w:sz w:val="32"/>
        </w:rPr>
        <w:t>201</w:t>
      </w:r>
      <w:r>
        <w:rPr>
          <w:rFonts w:ascii="仿宋_GB2312" w:eastAsia="仿宋_GB2312" w:hAnsi="仿宋_GB2312" w:hint="eastAsia"/>
          <w:sz w:val="32"/>
        </w:rPr>
        <w:t>8年预算增加291.2万元，其中：基本支出增加16.2万元，项目支出增加275万元，人员工资普调和县加大科技奖励。</w:t>
      </w:r>
    </w:p>
    <w:p w:rsidR="00F02CAB" w:rsidRDefault="005F0212">
      <w:pPr>
        <w:autoSpaceDE w:val="0"/>
        <w:autoSpaceDN w:val="0"/>
        <w:ind w:firstLineChars="200" w:firstLine="640"/>
        <w:rPr>
          <w:rFonts w:ascii="黑体" w:eastAsia="黑体" w:hAnsi="黑体"/>
          <w:color w:val="000000"/>
          <w:sz w:val="32"/>
        </w:rPr>
      </w:pPr>
      <w:r>
        <w:rPr>
          <w:rFonts w:ascii="黑体" w:eastAsia="黑体" w:hAnsi="黑体" w:hint="eastAsia"/>
          <w:color w:val="000000"/>
          <w:sz w:val="32"/>
        </w:rPr>
        <w:t>三、机关运行经费安排情况</w:t>
      </w:r>
      <w:r>
        <w:rPr>
          <w:rFonts w:ascii="黑体" w:eastAsia="黑体" w:hAnsi="黑体"/>
          <w:color w:val="000000"/>
          <w:sz w:val="32"/>
        </w:rPr>
        <w:t xml:space="preserve"> </w:t>
      </w:r>
    </w:p>
    <w:p w:rsidR="00F02CAB" w:rsidRDefault="005F0212">
      <w:pPr>
        <w:ind w:firstLine="560"/>
        <w:rPr>
          <w:rFonts w:ascii="仿宋" w:eastAsia="仿宋" w:hAnsi="仿宋" w:cs="仿宋"/>
          <w:bCs/>
          <w:sz w:val="32"/>
          <w:szCs w:val="32"/>
        </w:rPr>
      </w:pPr>
      <w:r>
        <w:rPr>
          <w:rFonts w:ascii="仿宋" w:eastAsia="仿宋" w:hAnsi="仿宋" w:cs="仿宋"/>
          <w:bCs/>
          <w:sz w:val="32"/>
          <w:szCs w:val="32"/>
        </w:rPr>
        <w:t>201</w:t>
      </w:r>
      <w:r>
        <w:rPr>
          <w:rFonts w:ascii="仿宋" w:eastAsia="仿宋" w:hAnsi="仿宋" w:cs="仿宋" w:hint="eastAsia"/>
          <w:bCs/>
          <w:sz w:val="32"/>
          <w:szCs w:val="32"/>
        </w:rPr>
        <w:t>9年机关运行经费安排3.6万元，用于办公费1.6万元、印刷费</w:t>
      </w:r>
      <w:r>
        <w:rPr>
          <w:rFonts w:ascii="仿宋" w:eastAsia="仿宋" w:hAnsi="仿宋" w:cs="仿宋"/>
          <w:bCs/>
          <w:sz w:val="32"/>
          <w:szCs w:val="32"/>
        </w:rPr>
        <w:t>0.</w:t>
      </w:r>
      <w:r>
        <w:rPr>
          <w:rFonts w:ascii="仿宋" w:eastAsia="仿宋" w:hAnsi="仿宋" w:cs="仿宋" w:hint="eastAsia"/>
          <w:bCs/>
          <w:sz w:val="32"/>
          <w:szCs w:val="32"/>
        </w:rPr>
        <w:t>4万元、邮电费</w:t>
      </w:r>
      <w:r>
        <w:rPr>
          <w:rFonts w:ascii="仿宋" w:eastAsia="仿宋" w:hAnsi="仿宋" w:cs="仿宋"/>
          <w:bCs/>
          <w:sz w:val="32"/>
          <w:szCs w:val="32"/>
        </w:rPr>
        <w:t>0.</w:t>
      </w:r>
      <w:r>
        <w:rPr>
          <w:rFonts w:ascii="仿宋" w:eastAsia="仿宋" w:hAnsi="仿宋" w:cs="仿宋" w:hint="eastAsia"/>
          <w:bCs/>
          <w:sz w:val="32"/>
          <w:szCs w:val="32"/>
        </w:rPr>
        <w:t>14万元、差旅费</w:t>
      </w:r>
      <w:r>
        <w:rPr>
          <w:rFonts w:ascii="仿宋" w:eastAsia="仿宋" w:hAnsi="仿宋" w:cs="仿宋"/>
          <w:bCs/>
          <w:sz w:val="32"/>
          <w:szCs w:val="32"/>
        </w:rPr>
        <w:t>0.</w:t>
      </w:r>
      <w:r>
        <w:rPr>
          <w:rFonts w:ascii="仿宋" w:eastAsia="仿宋" w:hAnsi="仿宋" w:cs="仿宋" w:hint="eastAsia"/>
          <w:bCs/>
          <w:sz w:val="32"/>
          <w:szCs w:val="32"/>
        </w:rPr>
        <w:t>2万元，维修费</w:t>
      </w:r>
      <w:r>
        <w:rPr>
          <w:rFonts w:ascii="仿宋" w:eastAsia="仿宋" w:hAnsi="仿宋" w:cs="仿宋"/>
          <w:bCs/>
          <w:sz w:val="32"/>
          <w:szCs w:val="32"/>
        </w:rPr>
        <w:t>0.</w:t>
      </w:r>
      <w:r>
        <w:rPr>
          <w:rFonts w:ascii="仿宋" w:eastAsia="仿宋" w:hAnsi="仿宋" w:cs="仿宋" w:hint="eastAsia"/>
          <w:bCs/>
          <w:sz w:val="32"/>
          <w:szCs w:val="32"/>
        </w:rPr>
        <w:t>1万元，公务接待费</w:t>
      </w:r>
      <w:r>
        <w:rPr>
          <w:rFonts w:ascii="仿宋" w:eastAsia="仿宋" w:hAnsi="仿宋" w:cs="仿宋"/>
          <w:bCs/>
          <w:sz w:val="32"/>
          <w:szCs w:val="32"/>
        </w:rPr>
        <w:t>0.</w:t>
      </w:r>
      <w:r>
        <w:rPr>
          <w:rFonts w:ascii="仿宋" w:eastAsia="仿宋" w:hAnsi="仿宋" w:cs="仿宋" w:hint="eastAsia"/>
          <w:bCs/>
          <w:sz w:val="32"/>
          <w:szCs w:val="32"/>
        </w:rPr>
        <w:t>16万元，公务用车运行维护费1万元。</w:t>
      </w:r>
    </w:p>
    <w:p w:rsidR="00F02CAB" w:rsidRDefault="005F0212">
      <w:pPr>
        <w:ind w:firstLine="560"/>
        <w:rPr>
          <w:rFonts w:ascii="黑体" w:eastAsia="黑体" w:hAnsi="黑体"/>
          <w:color w:val="000000"/>
          <w:sz w:val="32"/>
        </w:rPr>
      </w:pPr>
      <w:r>
        <w:rPr>
          <w:rFonts w:ascii="仿宋" w:eastAsia="仿宋" w:hAnsi="仿宋" w:cs="仿宋"/>
          <w:bCs/>
          <w:sz w:val="28"/>
          <w:szCs w:val="28"/>
        </w:rPr>
        <w:t xml:space="preserve"> </w:t>
      </w:r>
      <w:r>
        <w:rPr>
          <w:rFonts w:ascii="黑体" w:eastAsia="黑体" w:hAnsi="黑体" w:hint="eastAsia"/>
          <w:color w:val="000000"/>
          <w:sz w:val="32"/>
        </w:rPr>
        <w:t>四、财政拨款“三公”经费预算情况及增减变化原因</w:t>
      </w:r>
    </w:p>
    <w:p w:rsidR="00F02CAB" w:rsidRDefault="005F0212">
      <w:pPr>
        <w:ind w:firstLineChars="250" w:firstLine="800"/>
        <w:jc w:val="left"/>
        <w:rPr>
          <w:rFonts w:ascii="仿宋" w:eastAsia="仿宋" w:hAnsi="仿宋"/>
          <w:sz w:val="32"/>
          <w:szCs w:val="32"/>
        </w:rPr>
      </w:pPr>
      <w:r>
        <w:rPr>
          <w:rFonts w:ascii="仿宋_GB2312" w:eastAsia="仿宋_GB2312" w:hAnsi="仿宋_GB2312" w:cs="仿宋_GB2312" w:hint="eastAsia"/>
          <w:sz w:val="32"/>
          <w:szCs w:val="32"/>
        </w:rPr>
        <w:t>2019年，财政拨款“三公”经费预算安排</w:t>
      </w:r>
      <w:r>
        <w:rPr>
          <w:rFonts w:ascii="仿宋" w:eastAsia="仿宋" w:hAnsi="仿宋" w:cs="仿宋" w:hint="eastAsia"/>
          <w:bCs/>
          <w:sz w:val="32"/>
          <w:szCs w:val="32"/>
        </w:rPr>
        <w:t>1.16万元，其中</w:t>
      </w:r>
      <w:r>
        <w:rPr>
          <w:rFonts w:ascii="仿宋" w:eastAsia="仿宋" w:hAnsi="仿宋" w:cs="仿宋" w:hint="eastAsia"/>
          <w:sz w:val="32"/>
          <w:szCs w:val="32"/>
        </w:rPr>
        <w:t>因公出国（境）费</w:t>
      </w:r>
      <w:r>
        <w:rPr>
          <w:rFonts w:ascii="仿宋" w:eastAsia="仿宋" w:hAnsi="仿宋" w:cs="仿宋"/>
          <w:sz w:val="32"/>
          <w:szCs w:val="32"/>
        </w:rPr>
        <w:t>0</w:t>
      </w:r>
      <w:r>
        <w:rPr>
          <w:rFonts w:ascii="仿宋" w:eastAsia="仿宋" w:hAnsi="仿宋" w:cs="仿宋" w:hint="eastAsia"/>
          <w:sz w:val="32"/>
          <w:szCs w:val="32"/>
        </w:rPr>
        <w:t>万元，与上年比较无增减变化，</w:t>
      </w:r>
      <w:r>
        <w:rPr>
          <w:rFonts w:ascii="仿宋" w:eastAsia="仿宋" w:hAnsi="仿宋" w:cs="仿宋" w:hint="eastAsia"/>
          <w:bCs/>
          <w:sz w:val="32"/>
          <w:szCs w:val="32"/>
        </w:rPr>
        <w:t>公务用车运行维护费</w:t>
      </w:r>
      <w:r>
        <w:rPr>
          <w:rFonts w:ascii="仿宋" w:eastAsia="仿宋" w:hAnsi="仿宋" w:cs="仿宋"/>
          <w:bCs/>
          <w:sz w:val="32"/>
          <w:szCs w:val="32"/>
        </w:rPr>
        <w:t>1</w:t>
      </w:r>
      <w:r>
        <w:rPr>
          <w:rFonts w:ascii="仿宋" w:eastAsia="仿宋" w:hAnsi="仿宋" w:cs="仿宋" w:hint="eastAsia"/>
          <w:bCs/>
          <w:sz w:val="32"/>
          <w:szCs w:val="32"/>
        </w:rPr>
        <w:t>万元</w:t>
      </w:r>
      <w:r>
        <w:rPr>
          <w:rFonts w:ascii="仿宋_GB2312" w:eastAsia="仿宋_GB2312" w:hAnsi="仿宋_GB2312" w:cs="仿宋_GB2312" w:hint="eastAsia"/>
          <w:sz w:val="32"/>
          <w:szCs w:val="32"/>
        </w:rPr>
        <w:t>（其中：公务用车购置费0万元，公务用车运行费1万元)</w:t>
      </w:r>
      <w:r>
        <w:rPr>
          <w:rFonts w:ascii="仿宋" w:eastAsia="仿宋" w:hAnsi="仿宋" w:cs="仿宋" w:hint="eastAsia"/>
          <w:bCs/>
          <w:sz w:val="32"/>
          <w:szCs w:val="32"/>
        </w:rPr>
        <w:t>，较上年无增减变化，公务接待费</w:t>
      </w:r>
      <w:r>
        <w:rPr>
          <w:rFonts w:ascii="仿宋" w:eastAsia="仿宋" w:hAnsi="仿宋" w:cs="仿宋"/>
          <w:bCs/>
          <w:sz w:val="32"/>
          <w:szCs w:val="32"/>
        </w:rPr>
        <w:t>0.</w:t>
      </w:r>
      <w:r>
        <w:rPr>
          <w:rFonts w:ascii="仿宋" w:eastAsia="仿宋" w:hAnsi="仿宋" w:cs="仿宋" w:hint="eastAsia"/>
          <w:bCs/>
          <w:sz w:val="32"/>
          <w:szCs w:val="32"/>
        </w:rPr>
        <w:t>16万元，与上年减少0.04万元。</w:t>
      </w:r>
      <w:r>
        <w:rPr>
          <w:rFonts w:ascii="仿宋_GB2312" w:eastAsia="仿宋_GB2312" w:hAnsi="仿宋_GB2312" w:cs="仿宋_GB2312" w:hint="eastAsia"/>
          <w:sz w:val="32"/>
          <w:szCs w:val="32"/>
        </w:rPr>
        <w:t>“三公”经费比上年</w:t>
      </w:r>
      <w:r>
        <w:rPr>
          <w:rFonts w:ascii="仿宋" w:eastAsia="仿宋" w:hAnsi="仿宋" w:hint="eastAsia"/>
          <w:sz w:val="32"/>
          <w:szCs w:val="32"/>
        </w:rPr>
        <w:t>减少0.04万元</w:t>
      </w:r>
      <w:r>
        <w:rPr>
          <w:rFonts w:ascii="仿宋" w:eastAsia="仿宋" w:hAnsi="仿宋"/>
          <w:sz w:val="32"/>
          <w:szCs w:val="32"/>
        </w:rPr>
        <w:t>,</w:t>
      </w:r>
      <w:r>
        <w:rPr>
          <w:rFonts w:ascii="仿宋" w:eastAsia="仿宋" w:hAnsi="仿宋" w:hint="eastAsia"/>
          <w:sz w:val="32"/>
          <w:szCs w:val="32"/>
        </w:rPr>
        <w:t>减少主要原因是按上级要求厉行节俭。</w:t>
      </w:r>
    </w:p>
    <w:p w:rsidR="00F02CAB" w:rsidRDefault="005F0212">
      <w:pPr>
        <w:numPr>
          <w:ilvl w:val="0"/>
          <w:numId w:val="1"/>
        </w:numPr>
        <w:ind w:firstLineChars="200" w:firstLine="643"/>
        <w:jc w:val="left"/>
        <w:rPr>
          <w:rFonts w:ascii="仿宋" w:eastAsia="仿宋" w:hAnsi="仿宋" w:cs="仿宋"/>
          <w:b/>
          <w:sz w:val="32"/>
          <w:szCs w:val="32"/>
        </w:rPr>
      </w:pPr>
      <w:r>
        <w:rPr>
          <w:rFonts w:ascii="仿宋" w:eastAsia="仿宋" w:hAnsi="仿宋" w:cs="仿宋" w:hint="eastAsia"/>
          <w:b/>
          <w:sz w:val="32"/>
          <w:szCs w:val="32"/>
        </w:rPr>
        <w:t>绩效预算信息</w:t>
      </w:r>
    </w:p>
    <w:p w:rsidR="00F02CAB" w:rsidRDefault="005F0212">
      <w:pPr>
        <w:ind w:firstLine="560"/>
        <w:rPr>
          <w:rFonts w:ascii="仿宋" w:eastAsia="仿宋" w:hAnsi="仿宋" w:cs="仿宋"/>
          <w:b/>
          <w:sz w:val="32"/>
          <w:szCs w:val="32"/>
        </w:rPr>
      </w:pPr>
      <w:r>
        <w:rPr>
          <w:rFonts w:ascii="仿宋" w:eastAsia="仿宋" w:hAnsi="仿宋" w:cs="仿宋" w:hint="eastAsia"/>
          <w:b/>
          <w:sz w:val="32"/>
          <w:szCs w:val="32"/>
        </w:rPr>
        <w:lastRenderedPageBreak/>
        <w:t xml:space="preserve"> 总体绩效目标：</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1、发挥科技创新平台作用</w:t>
      </w:r>
    </w:p>
    <w:p w:rsidR="00F02CAB" w:rsidRDefault="005F0212">
      <w:pPr>
        <w:spacing w:line="500" w:lineRule="exact"/>
        <w:ind w:firstLine="560"/>
        <w:rPr>
          <w:rFonts w:ascii="仿宋" w:eastAsia="仿宋" w:hAnsi="仿宋" w:cs="仿宋"/>
          <w:sz w:val="32"/>
          <w:szCs w:val="32"/>
        </w:rPr>
      </w:pPr>
      <w:r>
        <w:rPr>
          <w:rFonts w:ascii="仿宋" w:eastAsia="仿宋" w:hAnsi="仿宋" w:cs="仿宋" w:hint="eastAsia"/>
          <w:sz w:val="32"/>
          <w:szCs w:val="32"/>
        </w:rPr>
        <w:t>贯彻执行党和国家科技工作的方针、政策、法律、法规；组织编制全县科技发展的中长期规划和年度计划，研究拟定并组织实施“科教兴县”战略和科技体制改革的政策、措施。</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搭建科技体系创新平台，引导企业提升自身综合实力。我们以实施科技扶持措施、增强科技创业中心的企业孵化功能、引导企业提高自主研发能力为抓手，在全县范围内充分营造创业创新的氛围，从而逐渐搭建一个有利于企业自主创新、促进经济增长方式转变的科技创新体系。安排370</w:t>
      </w:r>
      <w:bookmarkStart w:id="0" w:name="_GoBack"/>
      <w:bookmarkEnd w:id="0"/>
      <w:r>
        <w:rPr>
          <w:rFonts w:ascii="仿宋" w:eastAsia="仿宋" w:hAnsi="仿宋" w:cs="仿宋" w:hint="eastAsia"/>
          <w:sz w:val="32"/>
          <w:szCs w:val="32"/>
        </w:rPr>
        <w:t xml:space="preserve">万元科技奖励资金，用于奖励在科技创新方面取得重要突破的企业，其中安排20万元校企合作基金，用于奖励与院校院所合作取得重大成果的企业。提升企业研发水平，争创省级高新技术企业3家，新增科技型中小企业60家；签订产学研合作协议2个以上;完善科技扶持政策，强化科技创业中心服务功能；争创省科技强县。　</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2、依托科技项目和科技成果两大载体，切实提高科技工作服务经济的能力。</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我们以科技与经济紧密结合为出发点，以增强区域经济竞争力为突破口，以培育自主知识产权、</w:t>
      </w:r>
      <w:r>
        <w:rPr>
          <w:rFonts w:ascii="仿宋" w:eastAsia="仿宋" w:hAnsi="仿宋" w:cs="仿宋" w:hint="eastAsia"/>
          <w:sz w:val="32"/>
          <w:szCs w:val="32"/>
        </w:rPr>
        <w:lastRenderedPageBreak/>
        <w:t xml:space="preserve">形成核心竞争力为目标，大力实施一批重大科技项目，加快科技成果转化为实际生产力步伐，从而带动产业的整体发展。　　</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3、以科技宣传促使群众科技意识的升级。</w:t>
      </w:r>
    </w:p>
    <w:p w:rsidR="00F02CAB" w:rsidRDefault="005F0212">
      <w:pPr>
        <w:ind w:firstLine="560"/>
        <w:rPr>
          <w:rFonts w:ascii="仿宋" w:eastAsia="仿宋" w:hAnsi="仿宋" w:cs="仿宋"/>
          <w:sz w:val="32"/>
          <w:szCs w:val="32"/>
        </w:rPr>
      </w:pPr>
      <w:r>
        <w:rPr>
          <w:rFonts w:ascii="仿宋" w:eastAsia="仿宋" w:hAnsi="仿宋" w:cs="仿宋" w:hint="eastAsia"/>
          <w:sz w:val="32"/>
          <w:szCs w:val="32"/>
        </w:rPr>
        <w:t>精心组织安排好一系列科技宣传和科技活动，大力增强群众的科技文化意识。继续与广播电台、电视台加强合作，做好科技宣传工作。办好科技活动周，开展各种形式的科技下乡、科技扶贫、科技宣传、科技咨询、科技讲座等，使科技培训受益人群达到5000人次以上，强化科技知识、科学思想的普及提高。</w:t>
      </w:r>
    </w:p>
    <w:p w:rsidR="00F02CAB" w:rsidRDefault="005F0212">
      <w:pPr>
        <w:ind w:firstLineChars="200" w:firstLine="643"/>
        <w:rPr>
          <w:rFonts w:ascii="仿宋" w:eastAsia="仿宋" w:hAnsi="仿宋" w:cs="仿宋"/>
          <w:sz w:val="32"/>
          <w:szCs w:val="32"/>
        </w:rPr>
      </w:pPr>
      <w:r>
        <w:rPr>
          <w:rFonts w:ascii="仿宋" w:eastAsia="仿宋" w:hAnsi="仿宋" w:cs="仿宋" w:hint="eastAsia"/>
          <w:b/>
          <w:bCs/>
          <w:sz w:val="32"/>
          <w:szCs w:val="32"/>
        </w:rPr>
        <w:t>职责分类绩效目标：</w:t>
      </w:r>
      <w:r>
        <w:rPr>
          <w:rFonts w:ascii="仿宋" w:eastAsia="仿宋" w:hAnsi="仿宋" w:cs="仿宋" w:hint="eastAsia"/>
          <w:sz w:val="32"/>
          <w:szCs w:val="32"/>
        </w:rPr>
        <w:t xml:space="preserve">　　</w:t>
      </w:r>
    </w:p>
    <w:p w:rsidR="00F02CAB" w:rsidRDefault="005F0212">
      <w:pPr>
        <w:ind w:firstLineChars="200" w:firstLine="560"/>
        <w:rPr>
          <w:rFonts w:ascii="仿宋" w:eastAsia="仿宋" w:hAnsi="仿宋" w:cs="仿宋"/>
          <w:sz w:val="28"/>
        </w:rPr>
      </w:pPr>
      <w:r>
        <w:rPr>
          <w:rFonts w:ascii="仿宋" w:eastAsia="仿宋" w:hAnsi="仿宋" w:cs="仿宋" w:hint="eastAsia"/>
          <w:sz w:val="28"/>
        </w:rPr>
        <w:t>1、贯彻执行党和国家科技工作的方针、政策、法律、法规；组织编制全县科技发展的中长期规划和年度计划，研究拟定并组织实施“科教兴县”战略和科技体制改革的政策、措施。</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2、组织申报国家、省、市星火、火炬、科技成果推广等各类科技发展计划，对各级科技计划的实施情况定期检查、指导、分析、汇总。</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3、组织实施科技攻关、高新技术开发、农业科技开发、社会发展科技进步等重点科技工作；组织实施县科技</w:t>
      </w:r>
      <w:r>
        <w:rPr>
          <w:rFonts w:ascii="仿宋" w:eastAsia="仿宋" w:hAnsi="仿宋" w:cs="仿宋" w:hint="eastAsia"/>
          <w:sz w:val="28"/>
        </w:rPr>
        <w:lastRenderedPageBreak/>
        <w:t>发展计划项目，协同财政部门共同管理全县科技统计工作。</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4、加强科技创新及高新技术产业化工作，推进全县科技创新体系和科技创新能力建设；负责协调上级部门对高新技术企业、高新技术产品及科技型企业及产品等进行认定，并做好相关指导工作；会同有关部门组织申报新产品认定；参与县信息化工作，指导信息技术的推广与应用。</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5、归口管理全县科技成果、科技奖励、科技保密、技术市场等工作。</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6、负责全县科教兴农工作的组织协调和督促检查；负责农业适用技术的试验、示范、培育科技示范基地、科技示范户。</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7、协调指导全县中小企业科技创新工作；牵头管理工业企业技术创新基金；培育科技型中小企业；归口组织申报民营科技企业认定和管理工作。</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8、管理县局直属事业单位的各项工作。</w:t>
      </w:r>
      <w:r>
        <w:rPr>
          <w:rFonts w:ascii="仿宋" w:eastAsia="仿宋" w:hAnsi="仿宋" w:cs="仿宋"/>
          <w:sz w:val="28"/>
        </w:rPr>
        <w:t xml:space="preserve"> </w:t>
      </w:r>
    </w:p>
    <w:p w:rsidR="00F02CAB" w:rsidRDefault="005F0212">
      <w:pPr>
        <w:ind w:firstLine="560"/>
        <w:rPr>
          <w:rFonts w:ascii="仿宋" w:eastAsia="仿宋" w:hAnsi="仿宋" w:cs="仿宋"/>
          <w:sz w:val="28"/>
        </w:rPr>
      </w:pPr>
      <w:r>
        <w:rPr>
          <w:rFonts w:ascii="仿宋" w:eastAsia="仿宋" w:hAnsi="仿宋" w:cs="仿宋" w:hint="eastAsia"/>
          <w:sz w:val="28"/>
        </w:rPr>
        <w:t>9、承办县委、县政府交办的其他各项工作。</w:t>
      </w:r>
    </w:p>
    <w:p w:rsidR="00F02CAB" w:rsidRDefault="005F0212">
      <w:pPr>
        <w:jc w:val="left"/>
        <w:rPr>
          <w:rFonts w:ascii="黑体" w:eastAsia="黑体" w:hAnsi="黑体" w:cs="黑体"/>
          <w:b/>
          <w:sz w:val="32"/>
          <w:szCs w:val="32"/>
        </w:rPr>
      </w:pPr>
      <w:r>
        <w:rPr>
          <w:rFonts w:ascii="黑体" w:eastAsia="黑体" w:hAnsi="黑体" w:cs="黑体" w:hint="eastAsia"/>
          <w:b/>
          <w:sz w:val="32"/>
          <w:szCs w:val="32"/>
        </w:rPr>
        <w:t>部门职责及工作活动绩效目标指标：</w:t>
      </w:r>
    </w:p>
    <w:p w:rsidR="00F02CAB" w:rsidRDefault="005F0212">
      <w:pPr>
        <w:jc w:val="center"/>
        <w:outlineLvl w:val="0"/>
        <w:rPr>
          <w:rFonts w:ascii="方正小标宋_GBK" w:eastAsia="方正小标宋_GBK"/>
          <w:color w:val="FFFFFF"/>
          <w:sz w:val="32"/>
        </w:rPr>
      </w:pPr>
      <w:bookmarkStart w:id="1" w:name="_Toc1653259"/>
      <w:r>
        <w:rPr>
          <w:rFonts w:ascii="方正小标宋_GBK" w:eastAsia="方正小标宋_GBK" w:hint="eastAsia"/>
          <w:sz w:val="32"/>
        </w:rPr>
        <w:lastRenderedPageBreak/>
        <w:t>部门职责-工作活动绩效目标</w:t>
      </w:r>
      <w:r>
        <w:rPr>
          <w:rStyle w:val="a7"/>
          <w:rFonts w:ascii="方正小标宋_GBK" w:eastAsia="方正小标宋_GBK"/>
          <w:color w:val="FFFFFF"/>
          <w:sz w:val="32"/>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F02CAB">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02CAB" w:rsidRDefault="005F0212">
            <w:pPr>
              <w:spacing w:line="300" w:lineRule="exact"/>
              <w:jc w:val="left"/>
              <w:rPr>
                <w:rFonts w:ascii="方正小标宋_GBK" w:eastAsia="方正小标宋_GBK"/>
                <w:sz w:val="24"/>
              </w:rPr>
            </w:pPr>
            <w:r>
              <w:rPr>
                <w:rFonts w:ascii="方正小标宋_GBK" w:eastAsia="方正小标宋_GBK"/>
                <w:sz w:val="24"/>
              </w:rPr>
              <w:t>306</w:t>
            </w:r>
            <w:r>
              <w:rPr>
                <w:rFonts w:ascii="方正小标宋_GBK" w:eastAsia="方正小标宋_GBK" w:hint="eastAsia"/>
                <w:sz w:val="24"/>
              </w:rPr>
              <w:t>临西县科学技术协会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02CAB" w:rsidRDefault="005F0212">
            <w:pPr>
              <w:spacing w:line="300" w:lineRule="exact"/>
              <w:jc w:val="right"/>
              <w:rPr>
                <w:rFonts w:ascii="方正书宋_GBK" w:eastAsia="方正书宋_GBK"/>
                <w:sz w:val="24"/>
              </w:rPr>
            </w:pPr>
            <w:r>
              <w:rPr>
                <w:rFonts w:ascii="方正书宋_GBK" w:eastAsia="方正书宋_GBK" w:hint="eastAsia"/>
                <w:sz w:val="24"/>
              </w:rPr>
              <w:t>单位：万元</w:t>
            </w:r>
          </w:p>
        </w:tc>
      </w:tr>
      <w:tr w:rsidR="00F02CAB">
        <w:trPr>
          <w:trHeight w:val="227"/>
          <w:tblHeader/>
          <w:jc w:val="center"/>
        </w:trPr>
        <w:tc>
          <w:tcPr>
            <w:tcW w:w="2341" w:type="dxa"/>
            <w:vMerge w:val="restart"/>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评价标准</w:t>
            </w:r>
          </w:p>
        </w:tc>
      </w:tr>
      <w:tr w:rsidR="00F02CAB">
        <w:trPr>
          <w:trHeight w:val="227"/>
          <w:tblHeader/>
          <w:jc w:val="center"/>
        </w:trPr>
        <w:tc>
          <w:tcPr>
            <w:tcW w:w="2341" w:type="dxa"/>
            <w:vMerge/>
            <w:shd w:val="clear" w:color="auto" w:fill="auto"/>
            <w:vAlign w:val="center"/>
          </w:tcPr>
          <w:p w:rsidR="00F02CAB" w:rsidRDefault="00F02CAB">
            <w:pPr>
              <w:spacing w:line="300" w:lineRule="exact"/>
              <w:jc w:val="left"/>
              <w:outlineLvl w:val="0"/>
            </w:pPr>
          </w:p>
        </w:tc>
        <w:tc>
          <w:tcPr>
            <w:tcW w:w="1276" w:type="dxa"/>
            <w:vMerge/>
            <w:shd w:val="clear" w:color="auto" w:fill="auto"/>
            <w:vAlign w:val="center"/>
          </w:tcPr>
          <w:p w:rsidR="00F02CAB" w:rsidRDefault="00F02CAB">
            <w:pPr>
              <w:spacing w:line="300" w:lineRule="exact"/>
              <w:jc w:val="left"/>
              <w:outlineLvl w:val="0"/>
            </w:pPr>
          </w:p>
        </w:tc>
        <w:tc>
          <w:tcPr>
            <w:tcW w:w="2976" w:type="dxa"/>
            <w:vMerge/>
            <w:shd w:val="clear" w:color="auto" w:fill="auto"/>
            <w:vAlign w:val="center"/>
          </w:tcPr>
          <w:p w:rsidR="00F02CAB" w:rsidRDefault="00F02CAB">
            <w:pPr>
              <w:spacing w:line="300" w:lineRule="exact"/>
              <w:jc w:val="left"/>
              <w:outlineLvl w:val="0"/>
            </w:pPr>
          </w:p>
        </w:tc>
        <w:tc>
          <w:tcPr>
            <w:tcW w:w="2976" w:type="dxa"/>
            <w:vMerge/>
            <w:shd w:val="clear" w:color="auto" w:fill="auto"/>
            <w:vAlign w:val="center"/>
          </w:tcPr>
          <w:p w:rsidR="00F02CAB" w:rsidRDefault="00F02CAB">
            <w:pPr>
              <w:spacing w:line="300" w:lineRule="exact"/>
              <w:jc w:val="left"/>
              <w:outlineLvl w:val="0"/>
            </w:pPr>
          </w:p>
        </w:tc>
        <w:tc>
          <w:tcPr>
            <w:tcW w:w="1417" w:type="dxa"/>
            <w:vMerge/>
            <w:shd w:val="clear" w:color="auto" w:fill="auto"/>
            <w:vAlign w:val="center"/>
          </w:tcPr>
          <w:p w:rsidR="00F02CAB" w:rsidRDefault="00F02CAB">
            <w:pPr>
              <w:spacing w:line="300" w:lineRule="exact"/>
              <w:jc w:val="left"/>
              <w:outlineLvl w:val="0"/>
            </w:pPr>
          </w:p>
        </w:tc>
        <w:tc>
          <w:tcPr>
            <w:tcW w:w="737" w:type="dxa"/>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02CAB" w:rsidRDefault="005F0212">
            <w:pPr>
              <w:spacing w:line="300" w:lineRule="exact"/>
              <w:jc w:val="center"/>
              <w:rPr>
                <w:rFonts w:ascii="方正书宋_GBK" w:eastAsia="方正书宋_GBK"/>
                <w:b/>
              </w:rPr>
            </w:pPr>
            <w:r>
              <w:rPr>
                <w:rFonts w:ascii="方正书宋_GBK" w:eastAsia="方正书宋_GBK" w:hint="eastAsia"/>
                <w:b/>
              </w:rPr>
              <w:t>差</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一、科技创新项目支撑</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38.00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健全技术创新市场导向机制，创新政府投入方式，以促进产业转型升级、治理生态环境、改善民生等重大科技需求为重点，围绕京津冀科技协同创新实施科技合作项目；支持重大科技成果转化和产业化</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获得一批重要原始创新成果，培养一批高层次科技人才和创新团队，为产业转型升级、现代农业建设、和谐宜居环境创建和民生改善提供创新支撑，促进京津冀科技协同创新。</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、社会公益技术研究</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重点围绕大气污染防治、资源环境保护与利用、提升百姓健康水平和保障公共安全等社会公益方面开展关键技术及新产品研发和应用示范</w:t>
            </w:r>
            <w:r>
              <w:rPr>
                <w:rFonts w:ascii="方正书宋_GBK" w:eastAsia="方正书宋_GBK"/>
              </w:rPr>
              <w:t>.</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研发一批改善生态环境、惠及民生的新技术、新工艺、新产品，加强先进技术应用示范，科技支撑改善环境和惠及民生能力增强。</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项目验收通过率（</w:t>
            </w:r>
            <w:r>
              <w:rPr>
                <w:rFonts w:ascii="方正书宋_GBK" w:eastAsia="方正书宋_GBK"/>
              </w:rPr>
              <w:t>%</w:t>
            </w:r>
            <w:r>
              <w:rPr>
                <w:rFonts w:ascii="方正书宋_GBK" w:eastAsia="方正书宋_GBK" w:hint="eastAsia"/>
              </w:rPr>
              <w:t>）</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、现代农业技术研究</w:t>
            </w:r>
          </w:p>
        </w:tc>
        <w:tc>
          <w:tcPr>
            <w:tcW w:w="12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35.00</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推动农业科技创新，粮食丰产、绿山富民、农林新品种创制、农资农装等科技工程，组织开展新品种、新技术、新产品的研究、开发、集成和示范，解决制约现代农业发展和新农村建设的重大关键技术问题。</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现代农业领域新技术、新品种、新产品的研究和应用水平进一步提升。</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推广转化实用新技术数量（个）</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开发应用新技术、新产品（个）</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、支持科技型中小企业技术创新</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创新财政投入方式，主要以后补助和间接投入方式，支持和引导科技型中小企业开展技术创新；建立健全多元化、多层次的中小企业技术创新公共服务体系；开展科技与金融的对接合作，搭建科技金融服务平台。</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发挥财政资金引导作用，推动科技型中小企业技术创新能力不断增强；发挥科技基金作用，逐步建立有利于促进企业自主创新的多元化、多层次、多渠道科技投融资体系。</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完成产品研发和产业化目标任务的企业比重；</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二、科技创新环境建设</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370.00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发挥政府职能作用，支持科技创新平台、创业平台建设，支持技术创新服务体系建设，实施科学技术奖励，加强科技人才引进培养，支持科研院所发展，加强科学技术普及，打造技术创新良好环境。</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创新体系进一步完善，政策环境进一步优化，人才团队进一步壮大，创新平台对产业技术创新的支撑和服务能力进一步增强，园区和基地的培育、聚集和示范作用进一步提升。</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、科技创新平台建设</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围绕县级经济社会和科技发展需求，主要根据绩效评价结果，以奖励性后补助方式，支持重点实验室等科技创新平台发展。</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科技创新平台设备、人才等科研条件进一步改善，各类科技资源配置更加合理，助推科技创新能力不断增强。</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引进和培养高层次人才数量（人）</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、科技创业平台（基地）建设</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加强科技园区建设，建立健全高新技术产业创新创业载体及科技中介服务体系，组织开展科技信息服务、创新创业及培</w:t>
            </w:r>
            <w:r>
              <w:rPr>
                <w:rFonts w:ascii="方正书宋_GBK" w:eastAsia="方正书宋_GBK" w:hint="eastAsia"/>
              </w:rPr>
              <w:lastRenderedPageBreak/>
              <w:t>训等工作。</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lastRenderedPageBreak/>
              <w:t>全县科技中介机构、创新创业基地等服务能力得到提升，科技特派员队伍不断壮大。</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县级农业科技园区示范应用的新技术（项）</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科技企业孵化器孵化企业数量</w:t>
            </w:r>
            <w:r>
              <w:rPr>
                <w:rFonts w:ascii="方正书宋_GBK" w:eastAsia="方正书宋_GBK"/>
              </w:rPr>
              <w:t>(</w:t>
            </w:r>
            <w:r>
              <w:rPr>
                <w:rFonts w:ascii="方正书宋_GBK" w:eastAsia="方正书宋_GBK" w:hint="eastAsia"/>
              </w:rPr>
              <w:t>家）</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0</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、科技创新服务体系建设</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推动科技基础条件服务平台建设；开展科技统计、分析与监测；强化科技发展战略研究；推广应用创新方法，培育创新型企业；开展形式多样的科技交流、科技招商及科技展览活动。</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县科技基础条件平台体系不断完善，科技资源面向社会开放共享程度提高；创新企业培育和创新方法应用推广取得成效；服务政府决策能力增强，科技合作交流机制健全，科技信息服务能力不断增强。</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创新型企业研发费用占主营业务收入比率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科技信息、技术咨询、科技活动周科技宣传服务人次（人次）</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、科技人才队伍建设</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加快各类科技人才的引进、培养、选拔和使用。</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引进、培养和选拔一批高层次科技人才。</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高层次科技人才团队引进和培养的数量（个）</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、科学技术奖励</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350.00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组织实施科学技术奖等科技奖励工作。</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政府科学技术奖励的导向和激励作用不断增强，营造崇尚科学、尊重知识、激励创新创业的社会文化</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破解创新能力瓶颈，鼓励、引导和支持企业科技进步和自主创新活动，激励创新创业社会文化</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三、知识产权管理与保护</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加强知识产权管理，促进知识产权运用，加大知识产权保护力度；加强知识产权宣传培训，加快知识产权服务业发展。</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知识产权管理、保护和运用水平不断提高，知识产权竞争优势明显，有效推进知识产权战略实施。</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、知识产权管理</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资助专利申请、授权</w:t>
            </w:r>
            <w:r>
              <w:rPr>
                <w:rFonts w:ascii="方正书宋_GBK" w:eastAsia="方正书宋_GBK"/>
              </w:rPr>
              <w:t>,</w:t>
            </w:r>
            <w:r>
              <w:rPr>
                <w:rFonts w:ascii="方正书宋_GBK" w:eastAsia="方正书宋_GBK" w:hint="eastAsia"/>
              </w:rPr>
              <w:t>推进专利质押融资，规范知识产权评估；引导企业制定专利战略，规范企业知识产权管理</w:t>
            </w:r>
            <w:r>
              <w:rPr>
                <w:rFonts w:ascii="方正书宋_GBK" w:eastAsia="方正书宋_GBK"/>
              </w:rPr>
              <w:t>,</w:t>
            </w:r>
            <w:r>
              <w:rPr>
                <w:rFonts w:ascii="方正书宋_GBK" w:eastAsia="方正书宋_GBK" w:hint="eastAsia"/>
              </w:rPr>
              <w:t>培育知识产权竞争优势。健全专利奖励机制，促进专利转化。</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科技创新成果获得知识产权能力增强，科技型中小企业融资渠道拓宽，重点企业知识产权竞争优势进一步显现。</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发明专利申请增长率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资助专利数（件）</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、知识产权保护</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改善专利行政执法条件，依法及时调处专利纠纷案件，查处假冒专利行为，规范专业市场知识产权保护，提供知识产权维权援助与举报投诉服务，组织协调县级知识保护产权工作。</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知识产权保护专业市场体系不断健全，专利侵权违法行为得到有效遏制，知识产权维权援助与举报投诉服务能力提升，权利人合法权益得到较好维护。</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专利案件结案率（</w:t>
            </w:r>
            <w:r>
              <w:rPr>
                <w:rFonts w:ascii="方正书宋_GBK" w:eastAsia="方正书宋_GBK"/>
              </w:rPr>
              <w:t>%</w:t>
            </w:r>
            <w:r>
              <w:rPr>
                <w:rFonts w:ascii="方正书宋_GBK" w:eastAsia="方正书宋_GBK" w:hint="eastAsia"/>
              </w:rPr>
              <w:t>）知识产权保护规范化专业市场数量（家）</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维权援助与举报投诉电话接听量增长率（</w:t>
            </w:r>
            <w:r>
              <w:rPr>
                <w:rFonts w:ascii="方正书宋_GBK" w:eastAsia="方正书宋_GBK"/>
              </w:rPr>
              <w:t>%</w:t>
            </w:r>
            <w:r>
              <w:rPr>
                <w:rFonts w:ascii="方正书宋_GBK" w:eastAsia="方正书宋_GBK" w:hint="eastAsia"/>
              </w:rPr>
              <w:t>）</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、知识产权服务</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开展知识产权宣传普及和教育培训活动</w:t>
            </w:r>
            <w:r>
              <w:rPr>
                <w:rFonts w:ascii="方正书宋_GBK" w:eastAsia="方正书宋_GBK"/>
              </w:rPr>
              <w:t>;</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社会公众知识产权意识提高，知识产权服务业加快发展。</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举办宣传活动数（次）</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四、科技政务管理</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负责系统综合业务管理和机关综合管理</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w:t>
            </w:r>
            <w:r>
              <w:rPr>
                <w:rFonts w:ascii="方正书宋_GBK" w:eastAsia="方正书宋_GBK" w:hint="eastAsia"/>
              </w:rPr>
              <w:lastRenderedPageBreak/>
              <w:t>高效运转。</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负责科技发展规划、政策、法规制定</w:t>
            </w:r>
            <w:r>
              <w:rPr>
                <w:rFonts w:ascii="方正书宋_GBK" w:eastAsia="方正书宋_GBK"/>
              </w:rPr>
              <w:t>,</w:t>
            </w:r>
            <w:r>
              <w:rPr>
                <w:rFonts w:ascii="方正书宋_GBK" w:eastAsia="方正书宋_GBK" w:hint="eastAsia"/>
              </w:rPr>
              <w:t>科技计划、项目及经费管理</w:t>
            </w:r>
            <w:r>
              <w:rPr>
                <w:rFonts w:ascii="方正书宋_GBK" w:eastAsia="方正书宋_GBK"/>
              </w:rPr>
              <w:t>,</w:t>
            </w:r>
            <w:r>
              <w:rPr>
                <w:rFonts w:ascii="方正书宋_GBK" w:eastAsia="方正书宋_GBK" w:hint="eastAsia"/>
              </w:rPr>
              <w:t>开展科技重点工作和重大活动，开展科技方面相关管理工作。</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各类科技管理业务工作谋划到位、开展有序，助推科技事业发展能力提升。</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科技管理业务工作保障率</w:t>
            </w:r>
            <w:r>
              <w:rPr>
                <w:rFonts w:ascii="方正书宋_GBK" w:eastAsia="方正书宋_GBK"/>
              </w:rPr>
              <w:t>(%</w:t>
            </w:r>
            <w:r>
              <w:rPr>
                <w:rFonts w:ascii="方正书宋_GBK" w:eastAsia="方正书宋_GBK" w:hint="eastAsia"/>
              </w:rPr>
              <w:t>）</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发布科技新闻数量（条）</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主要开展会议组织管理、信息化建设、机关财务和资产管理、标准化建设、人事管理、机关党工委、老干部工作以及直属企事业单位管理服务保障等工作。</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五、地震监测预报</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负责地震监测设施建设运维、地震预测预报研究分析。</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提升地震监测能力，强化震情跟踪，加强基础研究，提高地震预测水平，提供有效的公共服务。</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、地震监测</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地震监测台站、台网等设施建设与运行维护，观测设备和信息网络设备的购置、维护和技术升级，地震观测工作</w:t>
            </w:r>
            <w:r>
              <w:rPr>
                <w:rFonts w:ascii="方正书宋_GBK" w:eastAsia="方正书宋_GBK"/>
              </w:rPr>
              <w:t>,</w:t>
            </w:r>
            <w:r>
              <w:rPr>
                <w:rFonts w:ascii="方正书宋_GBK" w:eastAsia="方正书宋_GBK" w:hint="eastAsia"/>
              </w:rPr>
              <w:t>行业管理等。</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通过地震监测台网的建设、运维、管理，使台网布局合理，运行稳定，管理完善，全面提升地震监测能力。</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地震信息网络技术系统运行率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地震速报及时率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、地震预测预报</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开展地震预测预报研究，对震情和地震前兆进行分析，对我县地震形势进行研判，提出震</w:t>
            </w:r>
            <w:r>
              <w:rPr>
                <w:rFonts w:ascii="方正书宋_GBK" w:eastAsia="方正书宋_GBK" w:hint="eastAsia"/>
              </w:rPr>
              <w:lastRenderedPageBreak/>
              <w:t>情判定意见。</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lastRenderedPageBreak/>
              <w:t>通过震情跟踪、分析会商、异常核实、基础研究等手段，提高地震预测预报水平。</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震情预测准确率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规定时间内</w:t>
            </w:r>
            <w:r>
              <w:rPr>
                <w:rFonts w:ascii="方正书宋_GBK" w:eastAsia="方正书宋_GBK" w:hint="eastAsia"/>
              </w:rPr>
              <w:lastRenderedPageBreak/>
              <w:t>异常核实报告的完成率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lastRenderedPageBreak/>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六、地震应急救援</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负责地震应急预案编制、应急演练，应急设备购置和维护，地震现场应急工作，县内外地震灾害紧急救援，救援设备购置和维护、国家和地方紧急救援队的运转及抗震救灾指挥系统运行。</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做好地震应急各项准备工作，确保应急系统正常运维，保障地震应急响应快速、高效。</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、地震应急预案与演练</w:t>
            </w:r>
          </w:p>
        </w:tc>
        <w:tc>
          <w:tcPr>
            <w:tcW w:w="1276" w:type="dxa"/>
            <w:vMerge w:val="restart"/>
            <w:shd w:val="clear" w:color="auto" w:fill="auto"/>
            <w:vAlign w:val="center"/>
          </w:tcPr>
          <w:p w:rsidR="00F02CAB" w:rsidRDefault="00F02CAB">
            <w:pPr>
              <w:spacing w:line="300" w:lineRule="exact"/>
              <w:jc w:val="left"/>
              <w:rPr>
                <w:rFonts w:ascii="方正书宋_GBK" w:eastAsia="方正书宋_GBK"/>
              </w:rPr>
            </w:pP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负责地震应急预案编制、应急演练，应急设备购置和维护，地震现场应急工作，县内外地震灾害紧急救援，救援设备购置和维护、国家和地方紧急救援队的转运及抗震救灾指挥系统运行。</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各级各类地震应急预案及时修订更新，预案内容科学实用，预案管理科学规范。经常性地开展地震应急培训和演练。</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各级各类预案修订完成率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地震应急培训和演练次数</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七、科学技术普及</w:t>
            </w:r>
          </w:p>
        </w:tc>
        <w:tc>
          <w:tcPr>
            <w:tcW w:w="12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33.40</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实施《全民科学素质行动计划纲要》，改善科普设施，提升科普能力，开展多种形式的科普活动。</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依据《全民科学素质行动计划纲要》和《科普法》并结合社会实际需要，开展科普活动，加强科普设施建设，提升科普能力</w:t>
            </w:r>
          </w:p>
        </w:tc>
        <w:tc>
          <w:tcPr>
            <w:tcW w:w="1417" w:type="dxa"/>
            <w:shd w:val="clear" w:color="auto" w:fill="auto"/>
            <w:vAlign w:val="center"/>
          </w:tcPr>
          <w:p w:rsidR="00F02CAB" w:rsidRDefault="00F02CAB">
            <w:pPr>
              <w:spacing w:line="300" w:lineRule="exact"/>
              <w:jc w:val="left"/>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c>
          <w:tcPr>
            <w:tcW w:w="737" w:type="dxa"/>
            <w:shd w:val="clear" w:color="auto" w:fill="auto"/>
            <w:vAlign w:val="center"/>
          </w:tcPr>
          <w:p w:rsidR="00F02CAB" w:rsidRDefault="00F02CAB">
            <w:pPr>
              <w:spacing w:line="300" w:lineRule="exact"/>
              <w:jc w:val="center"/>
              <w:rPr>
                <w:rFonts w:ascii="方正书宋_GBK" w:eastAsia="方正书宋_GBK"/>
              </w:rPr>
            </w:pP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、开展科普活动</w:t>
            </w:r>
          </w:p>
        </w:tc>
        <w:tc>
          <w:tcPr>
            <w:tcW w:w="12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3.40</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面向农民、社区居民、青少年、领导干部和公务员等重点人群，开展科普惠农、科普益民</w:t>
            </w:r>
            <w:r>
              <w:rPr>
                <w:rFonts w:ascii="方正书宋_GBK" w:eastAsia="方正书宋_GBK" w:hint="eastAsia"/>
              </w:rPr>
              <w:lastRenderedPageBreak/>
              <w:t>等重点科普活动；开展科普日、科技周、减灾日、三下乡等系列科普活动。</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lastRenderedPageBreak/>
              <w:t>通过开展各种科普活动，吸引各重点人群参与，普及科普知识</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科普活动参与人数</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3000</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科普活动和</w:t>
            </w:r>
            <w:r>
              <w:rPr>
                <w:rFonts w:ascii="方正书宋_GBK" w:eastAsia="方正书宋_GBK" w:hint="eastAsia"/>
              </w:rPr>
              <w:lastRenderedPageBreak/>
              <w:t>科技竞赛开展次数</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10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r>
      <w:tr w:rsidR="00F02CAB">
        <w:trPr>
          <w:trHeight w:val="227"/>
          <w:jc w:val="center"/>
        </w:trPr>
        <w:tc>
          <w:tcPr>
            <w:tcW w:w="2341" w:type="dxa"/>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、科普设施建设</w:t>
            </w:r>
          </w:p>
        </w:tc>
        <w:tc>
          <w:tcPr>
            <w:tcW w:w="1276" w:type="dxa"/>
            <w:shd w:val="clear" w:color="auto" w:fill="auto"/>
            <w:vAlign w:val="center"/>
          </w:tcPr>
          <w:p w:rsidR="00F02CAB" w:rsidRDefault="00F02CAB">
            <w:pPr>
              <w:spacing w:line="300" w:lineRule="exact"/>
              <w:jc w:val="left"/>
              <w:rPr>
                <w:rFonts w:ascii="方正书宋_GBK" w:eastAsia="方正书宋_GBK"/>
              </w:rPr>
            </w:pP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加强全县科技馆体系建设，推动科普大篷车、流动科技馆建设，加强全民科学素质教育基地建设，加强科普设施、展品研发，手机科普、数字科技馆等数字化科普公共服务平台。</w:t>
            </w:r>
          </w:p>
        </w:tc>
        <w:tc>
          <w:tcPr>
            <w:tcW w:w="2976"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促进全县各类科技馆的建设与发展，利用数字化手段开发构建科普公共服务平台，实现农村、社区、校园科普一体化推荐平台</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科普公共服务平台用户满意度</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F02CAB">
        <w:trPr>
          <w:trHeight w:val="227"/>
          <w:jc w:val="center"/>
        </w:trPr>
        <w:tc>
          <w:tcPr>
            <w:tcW w:w="2341" w:type="dxa"/>
            <w:vMerge w:val="restart"/>
            <w:shd w:val="clear" w:color="auto" w:fill="auto"/>
            <w:vAlign w:val="center"/>
          </w:tcPr>
          <w:p w:rsidR="00F02CAB" w:rsidRDefault="005F02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、科普能力建设</w:t>
            </w:r>
          </w:p>
        </w:tc>
        <w:tc>
          <w:tcPr>
            <w:tcW w:w="12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实施社会科普资源开发共享、县级特色科普工程，加强大众媒体科普传播能力建设，实施科学教育培训工程，培养科普组织和科普人才。</w:t>
            </w:r>
          </w:p>
        </w:tc>
        <w:tc>
          <w:tcPr>
            <w:tcW w:w="2976" w:type="dxa"/>
            <w:vMerge w:val="restart"/>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实现社会科普资源共享程度提高，全国和县级科普示范县科普特色项目建设成效明显，科普能力不断增强。</w:t>
            </w: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本市具备基本公民科学素质比例</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r>
      <w:tr w:rsidR="00F02CAB">
        <w:trPr>
          <w:trHeight w:val="227"/>
          <w:jc w:val="center"/>
        </w:trPr>
        <w:tc>
          <w:tcPr>
            <w:tcW w:w="2341" w:type="dxa"/>
            <w:vMerge/>
            <w:shd w:val="clear" w:color="auto" w:fill="auto"/>
            <w:vAlign w:val="center"/>
          </w:tcPr>
          <w:p w:rsidR="00F02CAB" w:rsidRDefault="00F02CAB">
            <w:pPr>
              <w:spacing w:line="300" w:lineRule="exact"/>
              <w:jc w:val="left"/>
              <w:rPr>
                <w:rFonts w:ascii="方正书宋_GBK" w:eastAsia="方正书宋_GBK"/>
                <w:b/>
              </w:rPr>
            </w:pPr>
          </w:p>
        </w:tc>
        <w:tc>
          <w:tcPr>
            <w:tcW w:w="12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2976" w:type="dxa"/>
            <w:vMerge/>
            <w:shd w:val="clear" w:color="auto" w:fill="auto"/>
            <w:vAlign w:val="center"/>
          </w:tcPr>
          <w:p w:rsidR="00F02CAB" w:rsidRDefault="00F02CAB">
            <w:pPr>
              <w:spacing w:line="300" w:lineRule="exact"/>
              <w:jc w:val="left"/>
              <w:rPr>
                <w:rFonts w:ascii="方正书宋_GBK" w:eastAsia="方正书宋_GBK"/>
              </w:rPr>
            </w:pPr>
          </w:p>
        </w:tc>
        <w:tc>
          <w:tcPr>
            <w:tcW w:w="1417" w:type="dxa"/>
            <w:shd w:val="clear" w:color="auto" w:fill="auto"/>
            <w:vAlign w:val="center"/>
          </w:tcPr>
          <w:p w:rsidR="00F02CAB" w:rsidRDefault="005F0212">
            <w:pPr>
              <w:spacing w:line="300" w:lineRule="exact"/>
              <w:jc w:val="left"/>
              <w:rPr>
                <w:rFonts w:ascii="方正书宋_GBK" w:eastAsia="方正书宋_GBK"/>
              </w:rPr>
            </w:pPr>
            <w:r>
              <w:rPr>
                <w:rFonts w:ascii="方正书宋_GBK" w:eastAsia="方正书宋_GBK" w:hint="eastAsia"/>
              </w:rPr>
              <w:t>科普网络信息数据更新率</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02CAB" w:rsidRDefault="005F021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bl>
    <w:p w:rsidR="00F02CAB" w:rsidRDefault="005F0212">
      <w:pPr>
        <w:ind w:firstLineChars="200" w:firstLine="643"/>
        <w:rPr>
          <w:rFonts w:ascii="仿宋" w:eastAsia="仿宋" w:hAnsi="仿宋" w:cs="仿宋"/>
          <w:b/>
          <w:sz w:val="32"/>
          <w:szCs w:val="32"/>
        </w:rPr>
      </w:pPr>
      <w:r>
        <w:rPr>
          <w:rFonts w:ascii="仿宋" w:eastAsia="仿宋" w:hAnsi="仿宋" w:cs="仿宋" w:hint="eastAsia"/>
          <w:b/>
          <w:sz w:val="32"/>
          <w:szCs w:val="32"/>
        </w:rPr>
        <w:t>六、政府采购预算情况</w:t>
      </w:r>
    </w:p>
    <w:p w:rsidR="00F02CAB" w:rsidRDefault="005F0212">
      <w:pPr>
        <w:ind w:firstLineChars="200" w:firstLine="560"/>
        <w:rPr>
          <w:rFonts w:ascii="仿宋" w:eastAsia="仿宋" w:hAnsi="仿宋" w:cs="仿宋"/>
          <w:sz w:val="28"/>
          <w:szCs w:val="28"/>
        </w:rPr>
      </w:pPr>
      <w:r>
        <w:rPr>
          <w:rFonts w:ascii="仿宋" w:eastAsia="仿宋" w:hAnsi="仿宋" w:cs="仿宋"/>
          <w:sz w:val="28"/>
          <w:szCs w:val="28"/>
        </w:rPr>
        <w:t>201</w:t>
      </w:r>
      <w:r>
        <w:rPr>
          <w:rFonts w:ascii="仿宋" w:eastAsia="仿宋" w:hAnsi="仿宋" w:cs="仿宋" w:hint="eastAsia"/>
          <w:sz w:val="28"/>
          <w:szCs w:val="28"/>
        </w:rPr>
        <w:t>9年我部门未安排政府采购。</w:t>
      </w:r>
    </w:p>
    <w:p w:rsidR="00F02CAB" w:rsidRDefault="005F0212">
      <w:pPr>
        <w:rPr>
          <w:rFonts w:ascii="仿宋" w:eastAsia="仿宋" w:hAnsi="仿宋" w:cs="仿宋"/>
          <w:b/>
          <w:sz w:val="28"/>
          <w:szCs w:val="28"/>
        </w:rPr>
      </w:pPr>
      <w:r>
        <w:rPr>
          <w:rFonts w:ascii="仿宋" w:eastAsia="仿宋" w:hAnsi="仿宋" w:cs="仿宋"/>
          <w:b/>
          <w:sz w:val="28"/>
          <w:szCs w:val="28"/>
        </w:rPr>
        <w:t xml:space="preserve">  </w:t>
      </w:r>
      <w:r>
        <w:rPr>
          <w:rFonts w:ascii="仿宋" w:eastAsia="仿宋" w:hAnsi="仿宋" w:cs="仿宋" w:hint="eastAsia"/>
          <w:b/>
          <w:sz w:val="28"/>
          <w:szCs w:val="28"/>
        </w:rPr>
        <w:t xml:space="preserve">  七、国有资产信息</w:t>
      </w:r>
    </w:p>
    <w:p w:rsidR="00F02CAB" w:rsidRDefault="005F0212">
      <w:pPr>
        <w:ind w:firstLine="560"/>
        <w:rPr>
          <w:rFonts w:ascii="仿宋" w:eastAsia="仿宋" w:hAnsi="仿宋" w:cs="仿宋"/>
          <w:bCs/>
          <w:sz w:val="28"/>
          <w:szCs w:val="28"/>
        </w:rPr>
      </w:pPr>
      <w:r>
        <w:rPr>
          <w:rFonts w:ascii="仿宋" w:eastAsia="仿宋" w:hAnsi="仿宋" w:cs="仿宋" w:hint="eastAsia"/>
          <w:bCs/>
          <w:sz w:val="28"/>
          <w:szCs w:val="28"/>
        </w:rPr>
        <w:t>临西县科学技术协会</w:t>
      </w:r>
      <w:r>
        <w:rPr>
          <w:rFonts w:ascii="仿宋" w:eastAsia="仿宋" w:hAnsi="仿宋" w:cs="仿宋"/>
          <w:bCs/>
          <w:sz w:val="28"/>
          <w:szCs w:val="28"/>
        </w:rPr>
        <w:t>201</w:t>
      </w:r>
      <w:r>
        <w:rPr>
          <w:rFonts w:ascii="仿宋" w:eastAsia="仿宋" w:hAnsi="仿宋" w:cs="仿宋" w:hint="eastAsia"/>
          <w:bCs/>
          <w:sz w:val="28"/>
          <w:szCs w:val="28"/>
        </w:rPr>
        <w:t>8年末固定资产金额为11.858万元（详见下表）。</w:t>
      </w:r>
      <w:r>
        <w:rPr>
          <w:rFonts w:ascii="仿宋" w:eastAsia="仿宋" w:hAnsi="仿宋" w:cs="仿宋"/>
          <w:bCs/>
          <w:sz w:val="28"/>
          <w:szCs w:val="28"/>
        </w:rPr>
        <w:t>201</w:t>
      </w:r>
      <w:r>
        <w:rPr>
          <w:rFonts w:ascii="仿宋" w:eastAsia="仿宋" w:hAnsi="仿宋" w:cs="仿宋" w:hint="eastAsia"/>
          <w:bCs/>
          <w:sz w:val="28"/>
          <w:szCs w:val="28"/>
        </w:rPr>
        <w:t>9年拟购置固定资产0元。</w:t>
      </w:r>
    </w:p>
    <w:p w:rsidR="00F02CAB" w:rsidRDefault="00F02CAB">
      <w:pPr>
        <w:ind w:firstLine="560"/>
        <w:jc w:val="center"/>
        <w:rPr>
          <w:rFonts w:ascii="仿宋" w:eastAsia="仿宋" w:hAnsi="仿宋" w:cs="仿宋"/>
          <w:bCs/>
          <w:sz w:val="28"/>
          <w:szCs w:val="28"/>
        </w:rPr>
      </w:pPr>
    </w:p>
    <w:p w:rsidR="00F02CAB" w:rsidRDefault="005F0212">
      <w:pPr>
        <w:jc w:val="center"/>
        <w:rPr>
          <w:rFonts w:ascii="仿宋" w:eastAsia="仿宋" w:hAnsi="仿宋" w:cs="仿宋"/>
          <w:bCs/>
          <w:sz w:val="28"/>
          <w:szCs w:val="28"/>
        </w:rPr>
      </w:pPr>
      <w:r>
        <w:rPr>
          <w:rFonts w:ascii="仿宋" w:eastAsia="仿宋" w:hAnsi="仿宋" w:cs="仿宋" w:hint="eastAsia"/>
          <w:bCs/>
          <w:sz w:val="28"/>
          <w:szCs w:val="28"/>
        </w:rPr>
        <w:t>固定资产占用情况表</w:t>
      </w:r>
    </w:p>
    <w:tbl>
      <w:tblPr>
        <w:tblW w:w="12372" w:type="dxa"/>
        <w:tblInd w:w="93" w:type="dxa"/>
        <w:tblLayout w:type="fixed"/>
        <w:tblLook w:val="04A0"/>
      </w:tblPr>
      <w:tblGrid>
        <w:gridCol w:w="3640"/>
        <w:gridCol w:w="2972"/>
        <w:gridCol w:w="5760"/>
      </w:tblGrid>
      <w:tr w:rsidR="00F02CAB">
        <w:trPr>
          <w:trHeight w:val="353"/>
        </w:trPr>
        <w:tc>
          <w:tcPr>
            <w:tcW w:w="3640" w:type="dxa"/>
            <w:tcBorders>
              <w:top w:val="nil"/>
              <w:left w:val="nil"/>
              <w:bottom w:val="single" w:sz="4" w:space="0" w:color="auto"/>
              <w:right w:val="nil"/>
            </w:tcBorders>
            <w:shd w:val="clear" w:color="auto" w:fill="FFFFFF"/>
            <w:vAlign w:val="center"/>
          </w:tcPr>
          <w:p w:rsidR="00F02CAB" w:rsidRDefault="005F0212">
            <w:pPr>
              <w:widowControl/>
              <w:jc w:val="left"/>
              <w:rPr>
                <w:rFonts w:ascii="宋体" w:cs="Arial"/>
                <w:color w:val="000000"/>
                <w:kern w:val="0"/>
                <w:sz w:val="24"/>
              </w:rPr>
            </w:pPr>
            <w:r>
              <w:rPr>
                <w:rFonts w:ascii="宋体" w:hAnsi="宋体" w:cs="Arial" w:hint="eastAsia"/>
                <w:color w:val="000000"/>
                <w:kern w:val="0"/>
                <w:sz w:val="24"/>
              </w:rPr>
              <w:t>编制部门：临西县科学技术协会</w:t>
            </w:r>
          </w:p>
        </w:tc>
        <w:tc>
          <w:tcPr>
            <w:tcW w:w="2972" w:type="dxa"/>
            <w:tcBorders>
              <w:top w:val="nil"/>
              <w:left w:val="nil"/>
              <w:bottom w:val="single" w:sz="4" w:space="0" w:color="auto"/>
              <w:right w:val="nil"/>
            </w:tcBorders>
            <w:shd w:val="clear" w:color="auto" w:fill="FFFFFF"/>
            <w:vAlign w:val="center"/>
          </w:tcPr>
          <w:p w:rsidR="00F02CAB" w:rsidRDefault="005F0212">
            <w:pPr>
              <w:widowControl/>
              <w:jc w:val="left"/>
              <w:rPr>
                <w:rFonts w:ascii="宋体" w:cs="Arial"/>
                <w:color w:val="000000"/>
                <w:kern w:val="0"/>
                <w:sz w:val="24"/>
              </w:rPr>
            </w:pPr>
            <w:r>
              <w:rPr>
                <w:rFonts w:ascii="宋体" w:hAnsi="宋体" w:cs="Arial" w:hint="eastAsia"/>
                <w:color w:val="000000"/>
                <w:kern w:val="0"/>
                <w:sz w:val="24"/>
              </w:rPr>
              <w:t xml:space="preserve">　</w:t>
            </w:r>
          </w:p>
        </w:tc>
        <w:tc>
          <w:tcPr>
            <w:tcW w:w="5760" w:type="dxa"/>
            <w:tcBorders>
              <w:top w:val="nil"/>
              <w:left w:val="nil"/>
              <w:bottom w:val="single" w:sz="4" w:space="0" w:color="auto"/>
              <w:right w:val="nil"/>
            </w:tcBorders>
            <w:vAlign w:val="bottom"/>
          </w:tcPr>
          <w:p w:rsidR="00F02CAB" w:rsidRDefault="005F0212">
            <w:pPr>
              <w:widowControl/>
              <w:jc w:val="right"/>
              <w:rPr>
                <w:rFonts w:ascii="宋体" w:cs="Arial"/>
                <w:kern w:val="0"/>
                <w:sz w:val="20"/>
                <w:szCs w:val="20"/>
              </w:rPr>
            </w:pPr>
            <w:r>
              <w:rPr>
                <w:rFonts w:ascii="宋体" w:hAnsi="宋体" w:cs="Arial" w:hint="eastAsia"/>
                <w:kern w:val="0"/>
                <w:sz w:val="20"/>
                <w:szCs w:val="20"/>
              </w:rPr>
              <w:t>截止时间：2018年12月31日</w:t>
            </w:r>
          </w:p>
        </w:tc>
      </w:tr>
      <w:tr w:rsidR="00F02CAB">
        <w:trPr>
          <w:trHeight w:val="278"/>
        </w:trPr>
        <w:tc>
          <w:tcPr>
            <w:tcW w:w="3640" w:type="dxa"/>
            <w:tcBorders>
              <w:top w:val="single" w:sz="4" w:space="0" w:color="auto"/>
              <w:left w:val="single" w:sz="4" w:space="0" w:color="auto"/>
              <w:bottom w:val="single" w:sz="4" w:space="0" w:color="auto"/>
              <w:right w:val="single" w:sz="4" w:space="0" w:color="auto"/>
            </w:tcBorders>
            <w:shd w:val="clear" w:color="auto" w:fill="C0C0C0"/>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2972" w:type="dxa"/>
            <w:tcBorders>
              <w:top w:val="single" w:sz="4" w:space="0" w:color="auto"/>
              <w:left w:val="single" w:sz="4" w:space="0" w:color="auto"/>
              <w:bottom w:val="single" w:sz="4" w:space="0" w:color="auto"/>
              <w:right w:val="single" w:sz="4" w:space="0" w:color="auto"/>
            </w:tcBorders>
            <w:shd w:val="clear" w:color="auto" w:fill="C0C0C0"/>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数量</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价值（万元）</w:t>
            </w:r>
          </w:p>
        </w:tc>
      </w:tr>
      <w:tr w:rsidR="00F02CAB">
        <w:trPr>
          <w:trHeight w:val="90"/>
        </w:trPr>
        <w:tc>
          <w:tcPr>
            <w:tcW w:w="3640" w:type="dxa"/>
            <w:tcBorders>
              <w:top w:val="single" w:sz="4" w:space="0" w:color="auto"/>
              <w:left w:val="single" w:sz="4" w:space="0" w:color="auto"/>
              <w:bottom w:val="single" w:sz="4" w:space="0" w:color="auto"/>
              <w:right w:val="single" w:sz="4" w:space="0" w:color="auto"/>
            </w:tcBorders>
            <w:shd w:val="clear" w:color="auto" w:fill="C0C0C0"/>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资产总额</w:t>
            </w:r>
          </w:p>
        </w:tc>
        <w:tc>
          <w:tcPr>
            <w:tcW w:w="2972" w:type="dxa"/>
            <w:tcBorders>
              <w:top w:val="single" w:sz="4" w:space="0" w:color="auto"/>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hAnsi="宋体" w:cs="Arial"/>
                <w:color w:val="000000"/>
                <w:kern w:val="0"/>
                <w:sz w:val="22"/>
                <w:szCs w:val="22"/>
              </w:rPr>
              <w:t>——</w:t>
            </w:r>
          </w:p>
        </w:tc>
        <w:tc>
          <w:tcPr>
            <w:tcW w:w="5760" w:type="dxa"/>
            <w:tcBorders>
              <w:top w:val="single" w:sz="4" w:space="0" w:color="auto"/>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Arial" w:hAnsi="Arial" w:cs="Arial"/>
                <w:kern w:val="0"/>
                <w:sz w:val="20"/>
                <w:szCs w:val="20"/>
              </w:rPr>
              <w:t>11.</w:t>
            </w:r>
            <w:r>
              <w:rPr>
                <w:rFonts w:ascii="Arial" w:hAnsi="Arial" w:cs="Arial" w:hint="eastAsia"/>
                <w:kern w:val="0"/>
                <w:sz w:val="20"/>
                <w:szCs w:val="20"/>
              </w:rPr>
              <w:t>79</w:t>
            </w:r>
          </w:p>
        </w:tc>
      </w:tr>
      <w:tr w:rsidR="00F02CAB">
        <w:trPr>
          <w:trHeight w:val="278"/>
        </w:trPr>
        <w:tc>
          <w:tcPr>
            <w:tcW w:w="3640" w:type="dxa"/>
            <w:tcBorders>
              <w:top w:val="nil"/>
              <w:left w:val="single" w:sz="4" w:space="0" w:color="auto"/>
              <w:bottom w:val="single" w:sz="4" w:space="0" w:color="auto"/>
              <w:right w:val="single" w:sz="4" w:space="0" w:color="auto"/>
            </w:tcBorders>
            <w:shd w:val="clear" w:color="auto" w:fill="C0C0C0"/>
            <w:vAlign w:val="center"/>
          </w:tcPr>
          <w:p w:rsidR="00F02CAB" w:rsidRDefault="005F0212">
            <w:pPr>
              <w:widowControl/>
              <w:jc w:val="left"/>
              <w:rPr>
                <w:rFonts w:ascii="宋体" w:cs="Arial"/>
                <w:color w:val="000000"/>
                <w:kern w:val="0"/>
                <w:sz w:val="22"/>
                <w:szCs w:val="22"/>
              </w:rPr>
            </w:pPr>
            <w:r>
              <w:rPr>
                <w:rFonts w:ascii="宋体" w:hAnsi="宋体" w:cs="Arial" w:hint="eastAsia"/>
                <w:color w:val="000000"/>
                <w:kern w:val="0"/>
                <w:sz w:val="22"/>
                <w:szCs w:val="22"/>
              </w:rPr>
              <w:t>1、房屋（平方米）</w:t>
            </w:r>
          </w:p>
        </w:tc>
        <w:tc>
          <w:tcPr>
            <w:tcW w:w="2972" w:type="dxa"/>
            <w:tcBorders>
              <w:top w:val="nil"/>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hAnsi="宋体" w:cs="Arial"/>
                <w:color w:val="000000"/>
                <w:kern w:val="0"/>
                <w:sz w:val="22"/>
                <w:szCs w:val="22"/>
              </w:rPr>
              <w:t>——</w:t>
            </w:r>
          </w:p>
        </w:tc>
        <w:tc>
          <w:tcPr>
            <w:tcW w:w="5760" w:type="dxa"/>
            <w:tcBorders>
              <w:top w:val="nil"/>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宋体" w:hAnsi="宋体" w:cs="Arial"/>
                <w:color w:val="000000"/>
                <w:kern w:val="0"/>
                <w:sz w:val="22"/>
                <w:szCs w:val="22"/>
              </w:rPr>
              <w:t>——</w:t>
            </w:r>
          </w:p>
        </w:tc>
      </w:tr>
      <w:tr w:rsidR="00F02CAB">
        <w:trPr>
          <w:trHeight w:val="278"/>
        </w:trPr>
        <w:tc>
          <w:tcPr>
            <w:tcW w:w="3640" w:type="dxa"/>
            <w:tcBorders>
              <w:top w:val="nil"/>
              <w:left w:val="single" w:sz="4" w:space="0" w:color="auto"/>
              <w:bottom w:val="single" w:sz="4" w:space="0" w:color="auto"/>
              <w:right w:val="single" w:sz="4" w:space="0" w:color="auto"/>
            </w:tcBorders>
            <w:shd w:val="clear" w:color="auto" w:fill="C0C0C0"/>
            <w:vAlign w:val="center"/>
          </w:tcPr>
          <w:p w:rsidR="00F02CAB" w:rsidRDefault="005F0212">
            <w:pPr>
              <w:widowControl/>
              <w:jc w:val="left"/>
              <w:rPr>
                <w:rFonts w:ascii="宋体" w:cs="Arial"/>
                <w:color w:val="000000"/>
                <w:kern w:val="0"/>
                <w:sz w:val="22"/>
                <w:szCs w:val="22"/>
              </w:rPr>
            </w:pPr>
            <w:r>
              <w:rPr>
                <w:rFonts w:ascii="宋体" w:hAnsi="宋体" w:cs="Arial" w:hint="eastAsia"/>
                <w:color w:val="000000"/>
                <w:kern w:val="0"/>
                <w:sz w:val="22"/>
                <w:szCs w:val="22"/>
              </w:rPr>
              <w:t>其中：办公用房（平方米）</w:t>
            </w:r>
          </w:p>
        </w:tc>
        <w:tc>
          <w:tcPr>
            <w:tcW w:w="2972" w:type="dxa"/>
            <w:tcBorders>
              <w:top w:val="nil"/>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hAnsi="宋体" w:cs="Arial"/>
                <w:color w:val="000000"/>
                <w:kern w:val="0"/>
                <w:sz w:val="22"/>
                <w:szCs w:val="22"/>
              </w:rPr>
              <w:t>——</w:t>
            </w:r>
          </w:p>
        </w:tc>
        <w:tc>
          <w:tcPr>
            <w:tcW w:w="5760" w:type="dxa"/>
            <w:tcBorders>
              <w:top w:val="nil"/>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宋体" w:hAnsi="宋体" w:cs="Arial"/>
                <w:color w:val="000000"/>
                <w:kern w:val="0"/>
                <w:sz w:val="22"/>
                <w:szCs w:val="22"/>
              </w:rPr>
              <w:t>——</w:t>
            </w:r>
          </w:p>
        </w:tc>
      </w:tr>
      <w:tr w:rsidR="00F02CAB">
        <w:trPr>
          <w:trHeight w:val="278"/>
        </w:trPr>
        <w:tc>
          <w:tcPr>
            <w:tcW w:w="3640" w:type="dxa"/>
            <w:tcBorders>
              <w:top w:val="nil"/>
              <w:left w:val="single" w:sz="4" w:space="0" w:color="auto"/>
              <w:bottom w:val="single" w:sz="4" w:space="0" w:color="auto"/>
              <w:right w:val="single" w:sz="4" w:space="0" w:color="auto"/>
            </w:tcBorders>
            <w:shd w:val="clear" w:color="auto" w:fill="C0C0C0"/>
            <w:vAlign w:val="center"/>
          </w:tcPr>
          <w:p w:rsidR="00F02CAB" w:rsidRDefault="005F0212">
            <w:pPr>
              <w:widowControl/>
              <w:jc w:val="left"/>
              <w:rPr>
                <w:rFonts w:ascii="宋体" w:hAnsi="宋体" w:cs="Arial"/>
                <w:color w:val="000000"/>
                <w:kern w:val="0"/>
                <w:sz w:val="22"/>
                <w:szCs w:val="22"/>
              </w:rPr>
            </w:pPr>
            <w:r>
              <w:rPr>
                <w:rFonts w:ascii="宋体" w:hAnsi="宋体" w:cs="Arial" w:hint="eastAsia"/>
                <w:color w:val="000000"/>
                <w:kern w:val="0"/>
                <w:sz w:val="22"/>
                <w:szCs w:val="22"/>
              </w:rPr>
              <w:t>2、车辆（台、辆）</w:t>
            </w:r>
          </w:p>
        </w:tc>
        <w:tc>
          <w:tcPr>
            <w:tcW w:w="2972" w:type="dxa"/>
            <w:tcBorders>
              <w:top w:val="nil"/>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1</w:t>
            </w:r>
          </w:p>
        </w:tc>
        <w:tc>
          <w:tcPr>
            <w:tcW w:w="5760" w:type="dxa"/>
            <w:tcBorders>
              <w:top w:val="nil"/>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Arial" w:hAnsi="Arial" w:cs="Arial" w:hint="eastAsia"/>
                <w:kern w:val="0"/>
                <w:sz w:val="20"/>
                <w:szCs w:val="20"/>
              </w:rPr>
              <w:t>7.9</w:t>
            </w:r>
          </w:p>
        </w:tc>
      </w:tr>
      <w:tr w:rsidR="00F02CAB">
        <w:trPr>
          <w:trHeight w:val="278"/>
        </w:trPr>
        <w:tc>
          <w:tcPr>
            <w:tcW w:w="3640" w:type="dxa"/>
            <w:tcBorders>
              <w:top w:val="nil"/>
              <w:left w:val="single" w:sz="4" w:space="0" w:color="auto"/>
              <w:bottom w:val="single" w:sz="4" w:space="0" w:color="auto"/>
              <w:right w:val="single" w:sz="4" w:space="0" w:color="auto"/>
            </w:tcBorders>
            <w:shd w:val="clear" w:color="auto" w:fill="C0C0C0"/>
            <w:vAlign w:val="center"/>
          </w:tcPr>
          <w:p w:rsidR="00F02CAB" w:rsidRDefault="005F0212">
            <w:pPr>
              <w:widowControl/>
              <w:jc w:val="left"/>
              <w:rPr>
                <w:rFonts w:ascii="宋体" w:cs="Arial"/>
                <w:color w:val="000000"/>
                <w:kern w:val="0"/>
                <w:sz w:val="22"/>
                <w:szCs w:val="22"/>
              </w:rPr>
            </w:pPr>
            <w:r>
              <w:rPr>
                <w:rFonts w:ascii="宋体" w:hAnsi="宋体" w:cs="Arial" w:hint="eastAsia"/>
                <w:color w:val="000000"/>
                <w:kern w:val="0"/>
                <w:sz w:val="22"/>
                <w:szCs w:val="22"/>
              </w:rPr>
              <w:t>3、单价在20万元以上设备</w:t>
            </w:r>
          </w:p>
        </w:tc>
        <w:tc>
          <w:tcPr>
            <w:tcW w:w="2972" w:type="dxa"/>
            <w:tcBorders>
              <w:top w:val="nil"/>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cs="Arial" w:hint="eastAsia"/>
                <w:color w:val="000000"/>
                <w:kern w:val="0"/>
                <w:sz w:val="22"/>
                <w:szCs w:val="22"/>
              </w:rPr>
              <w:t>--</w:t>
            </w:r>
          </w:p>
        </w:tc>
        <w:tc>
          <w:tcPr>
            <w:tcW w:w="5760" w:type="dxa"/>
            <w:tcBorders>
              <w:top w:val="nil"/>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Arial" w:hAnsi="Arial" w:cs="Arial"/>
                <w:kern w:val="0"/>
                <w:sz w:val="20"/>
                <w:szCs w:val="20"/>
              </w:rPr>
              <w:t>0</w:t>
            </w:r>
          </w:p>
        </w:tc>
      </w:tr>
      <w:tr w:rsidR="00F02CAB">
        <w:trPr>
          <w:trHeight w:val="278"/>
        </w:trPr>
        <w:tc>
          <w:tcPr>
            <w:tcW w:w="3640" w:type="dxa"/>
            <w:tcBorders>
              <w:top w:val="nil"/>
              <w:left w:val="single" w:sz="4" w:space="0" w:color="auto"/>
              <w:bottom w:val="single" w:sz="4" w:space="0" w:color="auto"/>
              <w:right w:val="single" w:sz="4" w:space="0" w:color="auto"/>
            </w:tcBorders>
            <w:shd w:val="clear" w:color="auto" w:fill="C0C0C0"/>
            <w:vAlign w:val="center"/>
          </w:tcPr>
          <w:p w:rsidR="00F02CAB" w:rsidRDefault="005F0212">
            <w:pPr>
              <w:widowControl/>
              <w:jc w:val="left"/>
              <w:rPr>
                <w:rFonts w:ascii="宋体" w:cs="Arial"/>
                <w:color w:val="000000"/>
                <w:kern w:val="0"/>
                <w:sz w:val="22"/>
                <w:szCs w:val="22"/>
              </w:rPr>
            </w:pPr>
            <w:r>
              <w:rPr>
                <w:rFonts w:ascii="宋体" w:hAnsi="宋体" w:cs="Arial" w:hint="eastAsia"/>
                <w:color w:val="000000"/>
                <w:kern w:val="0"/>
                <w:sz w:val="22"/>
                <w:szCs w:val="22"/>
              </w:rPr>
              <w:t>4、其他固定资产</w:t>
            </w:r>
          </w:p>
        </w:tc>
        <w:tc>
          <w:tcPr>
            <w:tcW w:w="2972" w:type="dxa"/>
            <w:tcBorders>
              <w:top w:val="nil"/>
              <w:left w:val="nil"/>
              <w:bottom w:val="single" w:sz="4" w:space="0" w:color="auto"/>
              <w:right w:val="single" w:sz="4" w:space="0" w:color="auto"/>
            </w:tcBorders>
            <w:shd w:val="clear" w:color="auto" w:fill="FFFFFF"/>
            <w:vAlign w:val="center"/>
          </w:tcPr>
          <w:p w:rsidR="00F02CAB" w:rsidRDefault="005F0212">
            <w:pPr>
              <w:widowControl/>
              <w:jc w:val="center"/>
              <w:rPr>
                <w:rFonts w:ascii="宋体" w:cs="Arial"/>
                <w:color w:val="000000"/>
                <w:kern w:val="0"/>
                <w:sz w:val="22"/>
                <w:szCs w:val="22"/>
              </w:rPr>
            </w:pPr>
            <w:r>
              <w:rPr>
                <w:rFonts w:ascii="宋体" w:hAnsi="宋体" w:cs="Arial" w:hint="eastAsia"/>
                <w:color w:val="000000"/>
                <w:kern w:val="0"/>
                <w:sz w:val="22"/>
                <w:szCs w:val="22"/>
              </w:rPr>
              <w:t>--</w:t>
            </w:r>
          </w:p>
        </w:tc>
        <w:tc>
          <w:tcPr>
            <w:tcW w:w="5760" w:type="dxa"/>
            <w:tcBorders>
              <w:top w:val="nil"/>
              <w:left w:val="nil"/>
              <w:bottom w:val="single" w:sz="4" w:space="0" w:color="auto"/>
              <w:right w:val="single" w:sz="4" w:space="0" w:color="auto"/>
            </w:tcBorders>
            <w:vAlign w:val="bottom"/>
          </w:tcPr>
          <w:p w:rsidR="00F02CAB" w:rsidRDefault="005F0212">
            <w:pPr>
              <w:widowControl/>
              <w:jc w:val="center"/>
              <w:rPr>
                <w:rFonts w:ascii="Arial" w:hAnsi="Arial" w:cs="Arial"/>
                <w:kern w:val="0"/>
                <w:sz w:val="20"/>
                <w:szCs w:val="20"/>
              </w:rPr>
            </w:pPr>
            <w:r>
              <w:rPr>
                <w:rFonts w:ascii="Arial" w:hAnsi="Arial" w:cs="Arial" w:hint="eastAsia"/>
                <w:kern w:val="0"/>
                <w:sz w:val="20"/>
                <w:szCs w:val="20"/>
              </w:rPr>
              <w:t>3.89</w:t>
            </w:r>
          </w:p>
        </w:tc>
      </w:tr>
    </w:tbl>
    <w:p w:rsidR="00F02CAB" w:rsidRDefault="00F02CAB">
      <w:pPr>
        <w:ind w:firstLine="560"/>
        <w:rPr>
          <w:rFonts w:ascii="仿宋" w:eastAsia="仿宋" w:hAnsi="仿宋" w:cs="仿宋"/>
          <w:bCs/>
          <w:sz w:val="28"/>
          <w:szCs w:val="28"/>
        </w:rPr>
      </w:pPr>
    </w:p>
    <w:p w:rsidR="00F02CAB" w:rsidRDefault="005F0212">
      <w:pPr>
        <w:rPr>
          <w:rFonts w:ascii="仿宋" w:eastAsia="仿宋" w:hAnsi="仿宋" w:cs="仿宋"/>
          <w:b/>
          <w:bCs/>
          <w:sz w:val="28"/>
          <w:szCs w:val="28"/>
        </w:rPr>
      </w:pPr>
      <w:r>
        <w:rPr>
          <w:rFonts w:ascii="仿宋" w:eastAsia="仿宋" w:hAnsi="仿宋" w:cs="仿宋"/>
          <w:bCs/>
          <w:sz w:val="28"/>
          <w:szCs w:val="28"/>
        </w:rPr>
        <w:t xml:space="preserve">   </w:t>
      </w:r>
      <w:r>
        <w:rPr>
          <w:rFonts w:ascii="仿宋" w:eastAsia="仿宋" w:hAnsi="仿宋" w:cs="仿宋" w:hint="eastAsia"/>
          <w:bCs/>
          <w:sz w:val="28"/>
          <w:szCs w:val="28"/>
        </w:rPr>
        <w:t xml:space="preserve">  </w:t>
      </w:r>
      <w:r>
        <w:rPr>
          <w:rFonts w:ascii="仿宋" w:eastAsia="仿宋" w:hAnsi="仿宋" w:cs="仿宋" w:hint="eastAsia"/>
          <w:b/>
          <w:bCs/>
          <w:sz w:val="28"/>
          <w:szCs w:val="28"/>
        </w:rPr>
        <w:t>八、名词解释</w:t>
      </w:r>
    </w:p>
    <w:p w:rsidR="00F02CAB" w:rsidRDefault="005F0212">
      <w:pPr>
        <w:rPr>
          <w:rFonts w:ascii="仿宋" w:eastAsia="仿宋" w:hAnsi="仿宋" w:cs="仿宋"/>
          <w:bCs/>
          <w:sz w:val="28"/>
          <w:szCs w:val="28"/>
        </w:rPr>
      </w:pPr>
      <w:r>
        <w:rPr>
          <w:rFonts w:ascii="仿宋" w:eastAsia="仿宋" w:hAnsi="仿宋" w:cs="仿宋"/>
          <w:bCs/>
          <w:sz w:val="28"/>
          <w:szCs w:val="28"/>
        </w:rPr>
        <w:t xml:space="preserve">    </w:t>
      </w:r>
      <w:r>
        <w:rPr>
          <w:rFonts w:ascii="仿宋" w:eastAsia="仿宋" w:hAnsi="仿宋" w:cs="仿宋" w:hint="eastAsia"/>
          <w:bCs/>
          <w:sz w:val="28"/>
          <w:szCs w:val="28"/>
        </w:rPr>
        <w:t>1、一般公共预算财政拨款收入：指县级财政当年拨付资金。</w:t>
      </w:r>
    </w:p>
    <w:p w:rsidR="00F02CAB" w:rsidRDefault="005F0212">
      <w:pPr>
        <w:rPr>
          <w:rFonts w:ascii="仿宋" w:eastAsia="仿宋" w:hAnsi="仿宋" w:cs="仿宋"/>
          <w:bCs/>
          <w:sz w:val="28"/>
          <w:szCs w:val="28"/>
        </w:rPr>
      </w:pPr>
      <w:r>
        <w:rPr>
          <w:rFonts w:ascii="仿宋" w:eastAsia="仿宋" w:hAnsi="仿宋" w:cs="仿宋"/>
          <w:bCs/>
          <w:sz w:val="28"/>
          <w:szCs w:val="28"/>
        </w:rPr>
        <w:t xml:space="preserve">    </w:t>
      </w:r>
      <w:r>
        <w:rPr>
          <w:rFonts w:ascii="仿宋" w:eastAsia="仿宋" w:hAnsi="仿宋" w:cs="仿宋" w:hint="eastAsia"/>
          <w:bCs/>
          <w:sz w:val="28"/>
          <w:szCs w:val="28"/>
        </w:rPr>
        <w:t>2、基本支出：指为保障机构正常运转、完成日常工作任务而发生的人员支出和公务支出。</w:t>
      </w:r>
    </w:p>
    <w:p w:rsidR="00F02CAB" w:rsidRDefault="005F0212">
      <w:pPr>
        <w:ind w:firstLine="555"/>
        <w:rPr>
          <w:rFonts w:ascii="仿宋" w:eastAsia="仿宋" w:hAnsi="仿宋" w:cs="仿宋"/>
          <w:bCs/>
          <w:sz w:val="28"/>
          <w:szCs w:val="28"/>
        </w:rPr>
      </w:pPr>
      <w:r>
        <w:rPr>
          <w:rFonts w:ascii="仿宋" w:eastAsia="仿宋" w:hAnsi="仿宋" w:cs="仿宋" w:hint="eastAsia"/>
          <w:bCs/>
          <w:sz w:val="28"/>
          <w:szCs w:val="28"/>
        </w:rPr>
        <w:t>3、“三公”经费：纳入县级财政预决算管理的“三公”经费，是指县级部门用财政拨款安排的因公出国（境）费、公务用车购置及运行费和公务接待费。</w:t>
      </w:r>
    </w:p>
    <w:p w:rsidR="00F02CAB" w:rsidRDefault="005F0212">
      <w:pPr>
        <w:ind w:firstLine="555"/>
        <w:rPr>
          <w:rFonts w:ascii="仿宋" w:eastAsia="仿宋" w:hAnsi="仿宋" w:cs="仿宋"/>
          <w:bCs/>
          <w:sz w:val="28"/>
          <w:szCs w:val="28"/>
        </w:rPr>
      </w:pPr>
      <w:r>
        <w:rPr>
          <w:rFonts w:ascii="仿宋" w:eastAsia="仿宋" w:hAnsi="仿宋" w:cs="仿宋" w:hint="eastAsia"/>
          <w:b/>
          <w:bCs/>
          <w:sz w:val="28"/>
          <w:szCs w:val="28"/>
        </w:rPr>
        <w:t>九、其他需说明事项</w:t>
      </w:r>
    </w:p>
    <w:p w:rsidR="00F02CAB" w:rsidRDefault="005F0212">
      <w:pPr>
        <w:ind w:firstLine="555"/>
        <w:rPr>
          <w:rFonts w:ascii="仿宋" w:eastAsia="仿宋" w:hAnsi="仿宋" w:cs="仿宋"/>
          <w:bCs/>
          <w:sz w:val="28"/>
          <w:szCs w:val="28"/>
        </w:rPr>
      </w:pPr>
      <w:r>
        <w:rPr>
          <w:rFonts w:ascii="仿宋" w:eastAsia="仿宋" w:hAnsi="仿宋" w:cs="仿宋" w:hint="eastAsia"/>
          <w:bCs/>
          <w:sz w:val="28"/>
          <w:szCs w:val="28"/>
        </w:rPr>
        <w:lastRenderedPageBreak/>
        <w:t>无其他需要说明的事项。</w:t>
      </w:r>
    </w:p>
    <w:p w:rsidR="00F02CAB" w:rsidRDefault="00F02CAB"/>
    <w:sectPr w:rsidR="00F02CAB" w:rsidSect="00F02CA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AB" w:rsidRDefault="00F02CAB" w:rsidP="00F02CAB">
      <w:r>
        <w:separator/>
      </w:r>
    </w:p>
  </w:endnote>
  <w:endnote w:type="continuationSeparator" w:id="0">
    <w:p w:rsidR="00F02CAB" w:rsidRDefault="00F02CAB" w:rsidP="00F0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charset w:val="86"/>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AB" w:rsidRDefault="00F02CAB" w:rsidP="00F02CAB">
      <w:r>
        <w:separator/>
      </w:r>
    </w:p>
  </w:footnote>
  <w:footnote w:type="continuationSeparator" w:id="0">
    <w:p w:rsidR="00F02CAB" w:rsidRDefault="00F02CAB" w:rsidP="00F02CAB">
      <w:r>
        <w:continuationSeparator/>
      </w:r>
    </w:p>
  </w:footnote>
  <w:footnote w:id="1">
    <w:p w:rsidR="00F02CAB" w:rsidRDefault="005F0212">
      <w:pPr>
        <w:pStyle w:val="a4"/>
      </w:pPr>
      <w:r>
        <w:rPr>
          <w:rStyle w:val="a7"/>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598A7"/>
    <w:multiLevelType w:val="singleLevel"/>
    <w:tmpl w:val="59F598A7"/>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3CC520B"/>
    <w:rsid w:val="005F0212"/>
    <w:rsid w:val="009212F3"/>
    <w:rsid w:val="00D73284"/>
    <w:rsid w:val="00F02CAB"/>
    <w:rsid w:val="03CC520B"/>
    <w:rsid w:val="04CF2A9D"/>
    <w:rsid w:val="087649F0"/>
    <w:rsid w:val="1E261864"/>
    <w:rsid w:val="39D85F59"/>
    <w:rsid w:val="40127E4B"/>
    <w:rsid w:val="4A0B064E"/>
    <w:rsid w:val="538F39A4"/>
    <w:rsid w:val="5F1B2228"/>
    <w:rsid w:val="7A7C2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CA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2CAB"/>
    <w:pPr>
      <w:tabs>
        <w:tab w:val="center" w:pos="4153"/>
        <w:tab w:val="right" w:pos="8306"/>
      </w:tabs>
      <w:snapToGrid w:val="0"/>
      <w:jc w:val="left"/>
    </w:pPr>
    <w:rPr>
      <w:sz w:val="18"/>
      <w:szCs w:val="18"/>
    </w:rPr>
  </w:style>
  <w:style w:type="paragraph" w:styleId="a4">
    <w:name w:val="footnote text"/>
    <w:basedOn w:val="a"/>
    <w:semiHidden/>
    <w:rsid w:val="00F02CAB"/>
    <w:pPr>
      <w:snapToGrid w:val="0"/>
      <w:jc w:val="left"/>
    </w:pPr>
    <w:rPr>
      <w:sz w:val="18"/>
      <w:szCs w:val="18"/>
    </w:rPr>
  </w:style>
  <w:style w:type="paragraph" w:styleId="a5">
    <w:name w:val="Normal (Web)"/>
    <w:basedOn w:val="a"/>
    <w:qFormat/>
    <w:rsid w:val="00F02CAB"/>
    <w:pPr>
      <w:spacing w:before="100" w:beforeAutospacing="1" w:after="100" w:afterAutospacing="1"/>
    </w:pPr>
    <w:rPr>
      <w:rFonts w:ascii="宋体" w:hAnsi="宋体" w:cs="宋体"/>
      <w:sz w:val="24"/>
    </w:rPr>
  </w:style>
  <w:style w:type="character" w:styleId="a6">
    <w:name w:val="page number"/>
    <w:basedOn w:val="a0"/>
    <w:rsid w:val="00F02CAB"/>
  </w:style>
  <w:style w:type="character" w:styleId="a7">
    <w:name w:val="footnote reference"/>
    <w:basedOn w:val="a0"/>
    <w:semiHidden/>
    <w:rsid w:val="00F02CA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6689</Words>
  <Characters>947</Characters>
  <Application>Microsoft Office Word</Application>
  <DocSecurity>0</DocSecurity>
  <Lines>7</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2019-02-21T08:55:00Z</cp:lastPrinted>
  <dcterms:created xsi:type="dcterms:W3CDTF">2017-10-29T08:33:00Z</dcterms:created>
  <dcterms:modified xsi:type="dcterms:W3CDTF">2019-02-21T08:55:00Z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